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CCS</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w:t>
      </w:r>
      <w:r>
        <w:rPr>
          <w:lang w:val="fr-FR"/>
        </w:rPr>
        <w:t>/T</w:t>
      </w:r>
      <w:r>
        <w:fldChar w:fldCharType="end"/>
      </w:r>
      <w:bookmarkEnd w:id="5"/>
      <w:r>
        <w:rPr>
          <w:rFonts w:hint="eastAsia"/>
        </w:rPr>
        <w:t xml:space="preserve"> 1376</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rFonts w:hint="eastAsia"/>
        </w:rPr>
        <w:t>XXXX</w:t>
      </w:r>
      <w:r>
        <w:fldChar w:fldCharType="end"/>
      </w:r>
      <w:bookmarkEnd w:id="6"/>
    </w:p>
    <w:p>
      <w:pPr>
        <w:pStyle w:val="197"/>
        <w:framePr/>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代替 DB14/T</w:t>
      </w:r>
      <w:r>
        <w:rPr>
          <w:rFonts w:hint="eastAsia" w:hAnsi="黑体"/>
        </w:rPr>
        <w:t xml:space="preserve"> 1376-2017</w:t>
      </w:r>
      <w:r>
        <w:rPr>
          <w:rFonts w:hAnsi="黑体"/>
        </w:rPr>
        <w:fldChar w:fldCharType="end"/>
      </w:r>
      <w:bookmarkEnd w:id="7"/>
    </w:p>
    <w:p>
      <w:pPr>
        <w:spacing w:line="240" w:lineRule="auto"/>
        <w:rPr>
          <w:rFonts w:hint="eastAsia" w:ascii="黑体" w:hAnsi="黑体" w:eastAsia="黑体"/>
          <w:kern w:val="0"/>
          <w:sz w:val="10"/>
          <w:szCs w:val="10"/>
        </w:rPr>
      </w:pPr>
      <w:r>
        <w:rPr>
          <w:rFonts w:hint="eastAsia"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pPr>
        <w:pStyle w:val="51"/>
        <w:framePr w:w="9639" w:h="6976" w:hRule="exact" w:hSpace="0" w:vSpace="0" w:wrap="around" w:hAnchor="page" w:y="6408"/>
        <w:jc w:val="center"/>
        <w:rPr>
          <w:rFonts w:hint="eastAsia" w:ascii="黑体" w:hAnsi="黑体" w:eastAsia="黑体"/>
          <w:b w:val="0"/>
          <w:bCs w:val="0"/>
          <w:w w:val="100"/>
        </w:rPr>
      </w:pPr>
    </w:p>
    <w:p>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酥梨</w:t>
      </w:r>
      <w:r>
        <w:t>栽培技术规程</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w:t>
      </w:r>
      <w:r>
        <w:rPr>
          <w:rFonts w:hAnsi="黑体"/>
          <w:w w:val="100"/>
          <w:sz w:val="28"/>
        </w:rPr>
        <w:t>局</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pPr>
        <w:pStyle w:val="92"/>
        <w:spacing w:after="468"/>
      </w:pPr>
      <w:bookmarkStart w:id="20" w:name="BookMark1"/>
      <w:bookmarkStart w:id="21" w:name="_Toc155969626"/>
      <w:bookmarkStart w:id="22" w:name="_Toc8047"/>
      <w:bookmarkStart w:id="23" w:name="_Toc155969700"/>
      <w:bookmarkStart w:id="24" w:name="_Toc155969748"/>
      <w:r>
        <w:rPr>
          <w:rFonts w:hint="eastAsia"/>
          <w:spacing w:val="320"/>
        </w:rPr>
        <w:t>目</w:t>
      </w:r>
      <w:r>
        <w:rPr>
          <w:rFonts w:hint="eastAsia"/>
        </w:rPr>
        <w:t>次</w:t>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"_Toc173508388" </w:instrText>
      </w:r>
      <w:r>
        <w:fldChar w:fldCharType="separate"/>
      </w:r>
      <w:r>
        <w:rPr>
          <w:rStyle w:val="33"/>
          <w:rFonts w:hint="eastAsia"/>
        </w:rPr>
        <w:t>前言</w:t>
      </w:r>
      <w:r>
        <w:rPr>
          <w:rFonts w:hint="eastAsia"/>
        </w:rPr>
        <w:tab/>
      </w:r>
      <w:r>
        <w:rPr>
          <w:rFonts w:hint="eastAsia"/>
        </w:rPr>
        <w:fldChar w:fldCharType="begin"/>
      </w:r>
      <w:r>
        <w:rPr>
          <w:rFonts w:hint="eastAsia"/>
        </w:rPr>
        <w:instrText xml:space="preserve"> </w:instrText>
      </w:r>
      <w:r>
        <w:instrText xml:space="preserve">PAGEREF _Toc173508388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"_Toc173508389" </w:instrText>
      </w:r>
      <w:r>
        <w:fldChar w:fldCharType="separate"/>
      </w:r>
      <w:r>
        <w:rPr>
          <w:rStyle w:val="33"/>
          <w:rFonts w:hint="eastAsia"/>
        </w:rPr>
        <w:t>1</w:t>
      </w:r>
      <w:r>
        <w:rPr>
          <w:rStyle w:val="33"/>
        </w:rPr>
        <w:t xml:space="preserve"> </w:t>
      </w:r>
      <w:r>
        <w:rPr>
          <w:rStyle w:val="33"/>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_Toc173508389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"_Toc173508390" </w:instrText>
      </w:r>
      <w:r>
        <w:fldChar w:fldCharType="separate"/>
      </w:r>
      <w:r>
        <w:rPr>
          <w:rStyle w:val="33"/>
          <w:rFonts w:hint="eastAsia"/>
        </w:rPr>
        <w:t>2</w:t>
      </w:r>
      <w:r>
        <w:rPr>
          <w:rStyle w:val="33"/>
        </w:rPr>
        <w:t xml:space="preserve"> </w:t>
      </w:r>
      <w:r>
        <w:rPr>
          <w:rStyle w:val="33"/>
          <w:rFonts w:hint="eastAsia" w:ascii="Times New Roman"/>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_Toc173508390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"_Toc173508391" </w:instrText>
      </w:r>
      <w:r>
        <w:fldChar w:fldCharType="separate"/>
      </w:r>
      <w:r>
        <w:rPr>
          <w:rStyle w:val="33"/>
          <w:rFonts w:hint="eastAsia"/>
        </w:rPr>
        <w:t>3</w:t>
      </w:r>
      <w:r>
        <w:rPr>
          <w:rStyle w:val="33"/>
        </w:rPr>
        <w:t xml:space="preserve"> </w:t>
      </w:r>
      <w:r>
        <w:rPr>
          <w:rStyle w:val="33"/>
          <w:rFonts w:hint="eastAsia" w:ascii="Times New Roman"/>
        </w:rPr>
        <w:t xml:space="preserve"> 术语和定义</w:t>
      </w:r>
      <w:r>
        <w:rPr>
          <w:rFonts w:hint="eastAsia"/>
        </w:rPr>
        <w:tab/>
      </w:r>
      <w:r>
        <w:rPr>
          <w:rFonts w:hint="eastAsia"/>
        </w:rPr>
        <w:fldChar w:fldCharType="begin"/>
      </w:r>
      <w:r>
        <w:rPr>
          <w:rFonts w:hint="eastAsia"/>
        </w:rPr>
        <w:instrText xml:space="preserve"> </w:instrText>
      </w:r>
      <w:r>
        <w:instrText xml:space="preserve">PAGEREF _Toc173508391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"_Toc173508392" </w:instrText>
      </w:r>
      <w:r>
        <w:fldChar w:fldCharType="separate"/>
      </w:r>
      <w:r>
        <w:rPr>
          <w:rStyle w:val="33"/>
          <w:rFonts w:hint="eastAsia"/>
        </w:rPr>
        <w:t>4</w:t>
      </w:r>
      <w:r>
        <w:rPr>
          <w:rStyle w:val="33"/>
        </w:rPr>
        <w:t xml:space="preserve"> </w:t>
      </w:r>
      <w:r>
        <w:rPr>
          <w:rStyle w:val="33"/>
          <w:rFonts w:hint="eastAsia" w:ascii="Times New Roman"/>
        </w:rPr>
        <w:t xml:space="preserve"> 产地环境条件</w:t>
      </w:r>
      <w:r>
        <w:rPr>
          <w:rFonts w:hint="eastAsia"/>
        </w:rPr>
        <w:tab/>
      </w:r>
      <w:r>
        <w:rPr>
          <w:rFonts w:hint="eastAsia"/>
        </w:rPr>
        <w:fldChar w:fldCharType="begin"/>
      </w:r>
      <w:r>
        <w:rPr>
          <w:rFonts w:hint="eastAsia"/>
        </w:rPr>
        <w:instrText xml:space="preserve"> </w:instrText>
      </w:r>
      <w:r>
        <w:instrText xml:space="preserve">PAGEREF _Toc173508392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"_Toc173508393" </w:instrText>
      </w:r>
      <w:r>
        <w:fldChar w:fldCharType="separate"/>
      </w:r>
      <w:r>
        <w:rPr>
          <w:rStyle w:val="33"/>
          <w:rFonts w:hint="eastAsia"/>
        </w:rPr>
        <w:t>5</w:t>
      </w:r>
      <w:r>
        <w:rPr>
          <w:rStyle w:val="33"/>
        </w:rPr>
        <w:t xml:space="preserve"> </w:t>
      </w:r>
      <w:r>
        <w:rPr>
          <w:rStyle w:val="33"/>
          <w:rFonts w:hint="eastAsia" w:ascii="Times New Roman"/>
        </w:rPr>
        <w:t xml:space="preserve"> 建园</w:t>
      </w:r>
      <w:r>
        <w:rPr>
          <w:rFonts w:hint="eastAsia"/>
        </w:rPr>
        <w:tab/>
      </w:r>
      <w:r>
        <w:rPr>
          <w:rFonts w:hint="eastAsia"/>
        </w:rPr>
        <w:fldChar w:fldCharType="begin"/>
      </w:r>
      <w:r>
        <w:rPr>
          <w:rFonts w:hint="eastAsia"/>
        </w:rPr>
        <w:instrText xml:space="preserve"> </w:instrText>
      </w:r>
      <w:r>
        <w:instrText xml:space="preserve">PAGEREF _Toc173508393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"_Toc173508394" </w:instrText>
      </w:r>
      <w:r>
        <w:fldChar w:fldCharType="separate"/>
      </w:r>
      <w:r>
        <w:rPr>
          <w:rStyle w:val="33"/>
          <w:rFonts w:hint="eastAsia"/>
        </w:rPr>
        <w:t>6</w:t>
      </w:r>
      <w:r>
        <w:rPr>
          <w:rStyle w:val="33"/>
        </w:rPr>
        <w:t xml:space="preserve"> </w:t>
      </w:r>
      <w:r>
        <w:rPr>
          <w:rStyle w:val="33"/>
          <w:rFonts w:hint="eastAsia" w:ascii="Times New Roman"/>
        </w:rPr>
        <w:t xml:space="preserve"> 整形修剪</w:t>
      </w:r>
      <w:r>
        <w:rPr>
          <w:rFonts w:hint="eastAsia"/>
        </w:rPr>
        <w:tab/>
      </w:r>
      <w:r>
        <w:rPr>
          <w:rFonts w:hint="eastAsia"/>
        </w:rPr>
        <w:fldChar w:fldCharType="begin"/>
      </w:r>
      <w:r>
        <w:rPr>
          <w:rFonts w:hint="eastAsia"/>
        </w:rPr>
        <w:instrText xml:space="preserve"> </w:instrText>
      </w:r>
      <w:r>
        <w:instrText xml:space="preserve">PAGEREF _Toc173508394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"_Toc173508395" </w:instrText>
      </w:r>
      <w:r>
        <w:fldChar w:fldCharType="separate"/>
      </w:r>
      <w:r>
        <w:rPr>
          <w:rStyle w:val="33"/>
          <w:rFonts w:hint="eastAsia"/>
        </w:rPr>
        <w:t>7</w:t>
      </w:r>
      <w:r>
        <w:rPr>
          <w:rStyle w:val="33"/>
        </w:rPr>
        <w:t xml:space="preserve"> </w:t>
      </w:r>
      <w:r>
        <w:rPr>
          <w:rStyle w:val="33"/>
          <w:rFonts w:hint="eastAsia" w:ascii="Times New Roman"/>
        </w:rPr>
        <w:t xml:space="preserve"> 花果管理</w:t>
      </w:r>
      <w:r>
        <w:rPr>
          <w:rFonts w:hint="eastAsia"/>
        </w:rPr>
        <w:tab/>
      </w:r>
      <w:r>
        <w:rPr>
          <w:rFonts w:hint="eastAsia"/>
        </w:rPr>
        <w:fldChar w:fldCharType="begin"/>
      </w:r>
      <w:r>
        <w:rPr>
          <w:rFonts w:hint="eastAsia"/>
        </w:rPr>
        <w:instrText xml:space="preserve"> </w:instrText>
      </w:r>
      <w:r>
        <w:instrText xml:space="preserve">PAGEREF _Toc173508395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"_Toc173508396" </w:instrText>
      </w:r>
      <w:r>
        <w:fldChar w:fldCharType="separate"/>
      </w:r>
      <w:r>
        <w:rPr>
          <w:rStyle w:val="33"/>
          <w:rFonts w:hint="eastAsia"/>
        </w:rPr>
        <w:t>8</w:t>
      </w:r>
      <w:r>
        <w:rPr>
          <w:rStyle w:val="33"/>
        </w:rPr>
        <w:t xml:space="preserve"> </w:t>
      </w:r>
      <w:r>
        <w:rPr>
          <w:rStyle w:val="33"/>
          <w:rFonts w:hint="eastAsia" w:ascii="Times New Roman"/>
        </w:rPr>
        <w:t xml:space="preserve"> 土肥水管理</w:t>
      </w:r>
      <w:r>
        <w:rPr>
          <w:rFonts w:hint="eastAsia"/>
        </w:rPr>
        <w:tab/>
      </w:r>
      <w:r>
        <w:rPr>
          <w:rFonts w:hint="eastAsia"/>
        </w:rPr>
        <w:fldChar w:fldCharType="begin"/>
      </w:r>
      <w:r>
        <w:rPr>
          <w:rFonts w:hint="eastAsia"/>
        </w:rPr>
        <w:instrText xml:space="preserve"> </w:instrText>
      </w:r>
      <w:r>
        <w:instrText xml:space="preserve">PAGEREF _Toc173508396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"_Toc173508397" </w:instrText>
      </w:r>
      <w:r>
        <w:fldChar w:fldCharType="separate"/>
      </w:r>
      <w:r>
        <w:rPr>
          <w:rStyle w:val="33"/>
          <w:rFonts w:hint="eastAsia"/>
        </w:rPr>
        <w:t>9</w:t>
      </w:r>
      <w:r>
        <w:rPr>
          <w:rStyle w:val="33"/>
        </w:rPr>
        <w:t xml:space="preserve"> </w:t>
      </w:r>
      <w:r>
        <w:rPr>
          <w:rStyle w:val="33"/>
          <w:rFonts w:hint="eastAsia" w:ascii="Times New Roman"/>
        </w:rPr>
        <w:t xml:space="preserve"> 病虫草害防治</w:t>
      </w:r>
      <w:r>
        <w:rPr>
          <w:rFonts w:hint="eastAsia"/>
        </w:rPr>
        <w:tab/>
      </w:r>
      <w:r>
        <w:rPr>
          <w:rFonts w:hint="eastAsia"/>
        </w:rPr>
        <w:fldChar w:fldCharType="begin"/>
      </w:r>
      <w:r>
        <w:rPr>
          <w:rFonts w:hint="eastAsia"/>
        </w:rPr>
        <w:instrText xml:space="preserve"> </w:instrText>
      </w:r>
      <w:r>
        <w:instrText xml:space="preserve">PAGEREF _Toc173508397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"_Toc173508398" </w:instrText>
      </w:r>
      <w:r>
        <w:fldChar w:fldCharType="separate"/>
      </w:r>
      <w:r>
        <w:rPr>
          <w:rStyle w:val="33"/>
          <w:rFonts w:hint="eastAsia"/>
        </w:rPr>
        <w:t>10</w:t>
      </w:r>
      <w:r>
        <w:rPr>
          <w:rStyle w:val="33"/>
        </w:rPr>
        <w:t xml:space="preserve"> </w:t>
      </w:r>
      <w:r>
        <w:rPr>
          <w:rStyle w:val="33"/>
          <w:rFonts w:hint="eastAsia" w:ascii="Times New Roman"/>
        </w:rPr>
        <w:t xml:space="preserve"> 生产档案</w:t>
      </w:r>
      <w:r>
        <w:rPr>
          <w:rFonts w:hint="eastAsia"/>
        </w:rPr>
        <w:tab/>
      </w:r>
      <w:r>
        <w:rPr>
          <w:rFonts w:hint="eastAsia"/>
        </w:rPr>
        <w:fldChar w:fldCharType="begin"/>
      </w:r>
      <w:r>
        <w:rPr>
          <w:rFonts w:hint="eastAsia"/>
        </w:rPr>
        <w:instrText xml:space="preserve"> </w:instrText>
      </w:r>
      <w:r>
        <w:instrText xml:space="preserve">PAGEREF _Toc173508398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"_Toc173508399" </w:instrText>
      </w:r>
      <w:r>
        <w:fldChar w:fldCharType="separate"/>
      </w:r>
      <w:r>
        <w:rPr>
          <w:rStyle w:val="33"/>
          <w:rFonts w:hint="eastAsia"/>
        </w:rPr>
        <w:t>附录A（资料性）</w:t>
      </w:r>
      <w:r>
        <w:rPr>
          <w:rStyle w:val="33"/>
        </w:rPr>
        <w:t xml:space="preserve"> </w:t>
      </w:r>
      <w:r>
        <w:rPr>
          <w:rStyle w:val="33"/>
          <w:rFonts w:hint="eastAsia"/>
        </w:rPr>
        <w:t xml:space="preserve"> 病虫害防治</w:t>
      </w:r>
      <w:r>
        <w:rPr>
          <w:rFonts w:hint="eastAsia"/>
        </w:rPr>
        <w:tab/>
      </w:r>
      <w:r>
        <w:rPr>
          <w:rFonts w:hint="eastAsia"/>
        </w:rPr>
        <w:fldChar w:fldCharType="begin"/>
      </w:r>
      <w:r>
        <w:rPr>
          <w:rFonts w:hint="eastAsia"/>
        </w:rPr>
        <w:instrText xml:space="preserve"> </w:instrText>
      </w:r>
      <w:r>
        <w:instrText xml:space="preserve">PAGEREF _Toc173508399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pPr>
        <w:pStyle w:val="90"/>
        <w:spacing w:before="900" w:after="468"/>
      </w:pPr>
      <w:bookmarkStart w:id="25" w:name="_Toc173508388"/>
      <w:bookmarkStart w:id="26" w:name="BookMark2"/>
      <w:r>
        <w:rPr>
          <w:spacing w:val="320"/>
        </w:rPr>
        <w:t>前</w:t>
      </w:r>
      <w:r>
        <w:t>言</w:t>
      </w:r>
      <w:bookmarkEnd w:id="21"/>
      <w:bookmarkEnd w:id="22"/>
      <w:bookmarkEnd w:id="23"/>
      <w:bookmarkEnd w:id="24"/>
      <w:bookmarkEnd w:id="25"/>
    </w:p>
    <w:p>
      <w:pPr>
        <w:pStyle w:val="57"/>
        <w:ind w:firstLine="420"/>
        <w:rPr>
          <w:rFonts w:ascii="Times New Roman"/>
        </w:rPr>
      </w:pPr>
      <w:r>
        <w:rPr>
          <w:rFonts w:hint="eastAsia" w:ascii="Times New Roman"/>
        </w:rPr>
        <w:t>本文件按照GB/T 1.1—2020《标准化工作导则  第1部分：标准化文件的结构和起草规则》的规定起草。</w:t>
      </w:r>
    </w:p>
    <w:p>
      <w:pPr>
        <w:pStyle w:val="57"/>
        <w:ind w:firstLine="420"/>
        <w:rPr>
          <w:rFonts w:ascii="Times New Roman"/>
        </w:rPr>
      </w:pPr>
      <w:r>
        <w:rPr>
          <w:rFonts w:hint="eastAsia" w:ascii="Times New Roman"/>
        </w:rPr>
        <w:t>本文件代替DB14/T 1376—2017《酥梨栽培技术规程》，与DB14/T 1376—2017相比，除结构调整和编辑性改动外，主要技术变化如下:</w:t>
      </w:r>
    </w:p>
    <w:p>
      <w:pPr>
        <w:pStyle w:val="57"/>
        <w:ind w:firstLine="420"/>
        <w:rPr>
          <w:rFonts w:ascii="Times New Roman"/>
        </w:rPr>
      </w:pPr>
      <w:r>
        <w:rPr>
          <w:rFonts w:hint="eastAsia" w:ascii="Times New Roman"/>
        </w:rPr>
        <w:t>——更改了建园中栽植密度内容（见5.3）</w:t>
      </w:r>
    </w:p>
    <w:p>
      <w:pPr>
        <w:pStyle w:val="57"/>
        <w:ind w:firstLine="420"/>
        <w:rPr>
          <w:rFonts w:ascii="Times New Roman"/>
        </w:rPr>
      </w:pPr>
      <w:r>
        <w:rPr>
          <w:rFonts w:hint="eastAsia" w:ascii="Times New Roman"/>
        </w:rPr>
        <w:t>——增加了建园中栽培时期内容（见5.4）</w:t>
      </w:r>
    </w:p>
    <w:p>
      <w:pPr>
        <w:pStyle w:val="57"/>
        <w:ind w:firstLine="420"/>
        <w:rPr>
          <w:rFonts w:ascii="Times New Roman"/>
        </w:rPr>
      </w:pPr>
      <w:r>
        <w:rPr>
          <w:rFonts w:hint="eastAsia" w:ascii="Times New Roman"/>
        </w:rPr>
        <w:t>——更改了建园中定植内容（见5.8）</w:t>
      </w:r>
    </w:p>
    <w:p>
      <w:pPr>
        <w:pStyle w:val="57"/>
        <w:ind w:firstLine="420"/>
        <w:rPr>
          <w:rFonts w:ascii="Times New Roman"/>
        </w:rPr>
      </w:pPr>
      <w:r>
        <w:rPr>
          <w:rFonts w:hint="eastAsia" w:ascii="Times New Roman"/>
        </w:rPr>
        <w:t>——更改了建园中定干内容（见5.9）</w:t>
      </w:r>
    </w:p>
    <w:p>
      <w:pPr>
        <w:pStyle w:val="57"/>
        <w:ind w:firstLine="420"/>
        <w:rPr>
          <w:rFonts w:ascii="Times New Roman"/>
        </w:rPr>
      </w:pPr>
      <w:r>
        <w:rPr>
          <w:rFonts w:hint="eastAsia" w:ascii="Times New Roman"/>
        </w:rPr>
        <w:t>——更改了花果管理中人工授粉内容（见7.1.2）</w:t>
      </w:r>
    </w:p>
    <w:p>
      <w:pPr>
        <w:pStyle w:val="57"/>
        <w:ind w:firstLine="420"/>
        <w:rPr>
          <w:rFonts w:ascii="Times New Roman"/>
        </w:rPr>
      </w:pPr>
      <w:r>
        <w:rPr>
          <w:rFonts w:hint="eastAsia" w:ascii="Times New Roman"/>
        </w:rPr>
        <w:t>——更改了花果管理中套袋内容（见7.3）</w:t>
      </w:r>
    </w:p>
    <w:p>
      <w:pPr>
        <w:pStyle w:val="57"/>
        <w:ind w:firstLine="420"/>
        <w:rPr>
          <w:rFonts w:ascii="Times New Roman"/>
        </w:rPr>
      </w:pPr>
      <w:r>
        <w:rPr>
          <w:rFonts w:hint="eastAsia" w:ascii="Times New Roman"/>
        </w:rPr>
        <w:t>——增加了土肥水管理中滴灌内容（见8.3.2）</w:t>
      </w:r>
    </w:p>
    <w:p>
      <w:pPr>
        <w:pStyle w:val="57"/>
        <w:ind w:firstLine="420"/>
        <w:rPr>
          <w:rFonts w:ascii="Times New Roman"/>
        </w:rPr>
      </w:pPr>
      <w:r>
        <w:rPr>
          <w:rFonts w:hint="eastAsia" w:ascii="Times New Roman"/>
        </w:rPr>
        <w:t>本文件由山西省农业农村厅提出、组织实施和监督检查。</w:t>
      </w:r>
    </w:p>
    <w:p>
      <w:pPr>
        <w:pStyle w:val="57"/>
        <w:ind w:firstLine="420"/>
        <w:rPr>
          <w:rFonts w:ascii="Times New Roman"/>
        </w:rPr>
      </w:pPr>
      <w:r>
        <w:rPr>
          <w:rFonts w:hint="eastAsia" w:ascii="Times New Roman"/>
        </w:rPr>
        <w:t>本文件由山西省市场监督管理局对标准的组织实施情况进行监督检查。</w:t>
      </w:r>
    </w:p>
    <w:p>
      <w:pPr>
        <w:pStyle w:val="57"/>
        <w:ind w:firstLine="420"/>
        <w:rPr>
          <w:rFonts w:ascii="Times New Roman"/>
        </w:rPr>
      </w:pPr>
      <w:r>
        <w:rPr>
          <w:rFonts w:hint="eastAsia" w:ascii="Times New Roman"/>
        </w:rPr>
        <w:t>本文件由山西省农业标准化技术委员会（SXS/TC19)归口。</w:t>
      </w:r>
    </w:p>
    <w:p>
      <w:pPr>
        <w:pStyle w:val="57"/>
        <w:ind w:firstLine="420"/>
        <w:rPr>
          <w:rFonts w:ascii="Times New Roman"/>
        </w:rPr>
      </w:pPr>
      <w:r>
        <w:rPr>
          <w:rFonts w:hint="eastAsia" w:ascii="Times New Roman"/>
        </w:rPr>
        <w:t>本文件起草单位：山西农业大学、山西林盛果业有限公司。</w:t>
      </w:r>
    </w:p>
    <w:p>
      <w:pPr>
        <w:pStyle w:val="57"/>
        <w:ind w:firstLine="420"/>
        <w:rPr>
          <w:rFonts w:ascii="Times New Roman"/>
        </w:rPr>
      </w:pPr>
      <w:r>
        <w:rPr>
          <w:rFonts w:hint="eastAsia" w:ascii="Times New Roman"/>
        </w:rPr>
        <w:t>本文件主要起草人：张春芬、邓舒、曹秋芬、董艳辉、聂园军、肖蓉、孟玉平。</w:t>
      </w:r>
    </w:p>
    <w:p>
      <w:pPr>
        <w:pStyle w:val="57"/>
        <w:ind w:firstLine="420"/>
        <w:rPr>
          <w:rFonts w:ascii="Times New Roman"/>
        </w:rPr>
      </w:pPr>
      <w:r>
        <w:rPr>
          <w:rFonts w:hint="eastAsia" w:ascii="Times New Roman"/>
        </w:rPr>
        <w:t>本文件及其所代替文件的历次版本发布情况为：</w:t>
      </w:r>
    </w:p>
    <w:p>
      <w:pPr>
        <w:pStyle w:val="57"/>
        <w:ind w:firstLine="420"/>
        <w:rPr>
          <w:rFonts w:ascii="Times New Roman"/>
        </w:rPr>
      </w:pPr>
      <w:r>
        <w:rPr>
          <w:rFonts w:hint="eastAsia" w:ascii="Times New Roman"/>
        </w:rPr>
        <w:t>——2017年首次发布为DB14/T 1376—2017</w:t>
      </w:r>
    </w:p>
    <w:p>
      <w:pPr>
        <w:pStyle w:val="57"/>
        <w:ind w:firstLine="420"/>
        <w:rPr>
          <w:rFonts w:ascii="Times New Roman"/>
        </w:rPr>
      </w:pPr>
      <w:r>
        <w:rPr>
          <w:rFonts w:hint="eastAsia" w:ascii="Times New Roman"/>
        </w:rPr>
        <w:t>——本次为第一次修订。</w:t>
      </w:r>
    </w:p>
    <w:p>
      <w:pPr>
        <w:pStyle w:val="57"/>
        <w:ind w:firstLine="420"/>
      </w:pPr>
    </w:p>
    <w:p>
      <w:pPr>
        <w:pStyle w:val="57"/>
        <w:ind w:firstLine="420"/>
      </w:pPr>
    </w:p>
    <w:p>
      <w:pPr>
        <w:pStyle w:val="57"/>
        <w:ind w:firstLine="420"/>
      </w:pPr>
    </w:p>
    <w:p>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pPr>
        <w:spacing w:line="20" w:lineRule="exact"/>
        <w:jc w:val="center"/>
        <w:rPr>
          <w:rFonts w:hint="eastAsia" w:ascii="黑体" w:hAnsi="黑体" w:eastAsia="黑体"/>
          <w:sz w:val="32"/>
          <w:szCs w:val="32"/>
        </w:rPr>
      </w:pPr>
      <w:bookmarkStart w:id="27"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17320C41AFF04F4787213A52F56EB01F"/>
        </w:placeholder>
      </w:sdtPr>
      <w:sdtContent>
        <w:p>
          <w:pPr>
            <w:pStyle w:val="178"/>
            <w:spacing w:before="312" w:beforeLines="100" w:after="686" w:afterLines="220"/>
            <w:rPr>
              <w:rFonts w:hint="eastAsia"/>
            </w:rPr>
          </w:pPr>
          <w:bookmarkStart w:id="28" w:name="NEW_STAND_NAME"/>
          <w:r>
            <w:rPr>
              <w:rFonts w:hint="eastAsia"/>
            </w:rPr>
            <w:t>酥梨栽培技术规程</w:t>
          </w:r>
        </w:p>
      </w:sdtContent>
    </w:sdt>
    <w:bookmarkEnd w:id="28"/>
    <w:p>
      <w:pPr>
        <w:pStyle w:val="105"/>
        <w:spacing w:before="312" w:after="312"/>
      </w:pPr>
      <w:bookmarkStart w:id="29" w:name="_Toc26986771"/>
      <w:bookmarkStart w:id="30" w:name="_Toc24884211"/>
      <w:bookmarkStart w:id="31" w:name="_Toc24884218"/>
      <w:bookmarkStart w:id="32" w:name="_Toc26648465"/>
      <w:bookmarkStart w:id="33" w:name="_Toc173508389"/>
      <w:bookmarkStart w:id="34" w:name="_Toc17233333"/>
      <w:bookmarkStart w:id="35" w:name="_Toc155969627"/>
      <w:bookmarkStart w:id="36" w:name="_Toc155969749"/>
      <w:bookmarkStart w:id="37" w:name="_Toc97191423"/>
      <w:bookmarkStart w:id="38" w:name="_Toc17233325"/>
      <w:bookmarkStart w:id="39" w:name="_Toc155969701"/>
      <w:bookmarkStart w:id="40" w:name="_Toc26718930"/>
      <w:bookmarkStart w:id="41" w:name="_Toc26986530"/>
      <w:bookmarkStart w:id="42" w:name="_Toc1514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57"/>
        <w:ind w:firstLine="420"/>
        <w:rPr>
          <w:rFonts w:ascii="Times New Roman"/>
        </w:rPr>
      </w:pPr>
      <w:bookmarkStart w:id="43" w:name="_Toc24884219"/>
      <w:bookmarkStart w:id="44" w:name="_Toc17233334"/>
      <w:bookmarkStart w:id="45" w:name="_Toc17233326"/>
      <w:bookmarkStart w:id="46" w:name="_Toc24884212"/>
      <w:bookmarkStart w:id="47" w:name="_Toc26648466"/>
      <w:r>
        <w:rPr>
          <w:rFonts w:hint="eastAsia" w:ascii="Times New Roman"/>
        </w:rPr>
        <w:t xml:space="preserve">本文件规定了酥梨生产的建园及栽培管理技术。 </w:t>
      </w:r>
    </w:p>
    <w:p>
      <w:pPr>
        <w:pStyle w:val="57"/>
        <w:ind w:firstLine="420"/>
        <w:rPr>
          <w:rFonts w:ascii="Times New Roman"/>
        </w:rPr>
      </w:pPr>
      <w:r>
        <w:rPr>
          <w:rFonts w:hint="eastAsia" w:ascii="Times New Roman"/>
        </w:rPr>
        <w:t>本文件适用于山西省酥梨的栽培与管理。</w:t>
      </w:r>
    </w:p>
    <w:p>
      <w:pPr>
        <w:pStyle w:val="105"/>
        <w:spacing w:before="312" w:after="312"/>
        <w:rPr>
          <w:rFonts w:ascii="Times New Roman"/>
        </w:rPr>
      </w:pPr>
      <w:bookmarkStart w:id="48" w:name="_Toc155969750"/>
      <w:bookmarkStart w:id="49" w:name="_Toc173508390"/>
      <w:bookmarkStart w:id="50" w:name="_Toc26718931"/>
      <w:bookmarkStart w:id="51" w:name="_Toc97191424"/>
      <w:bookmarkStart w:id="52" w:name="_Toc155969702"/>
      <w:bookmarkStart w:id="53" w:name="_Toc26986772"/>
      <w:bookmarkStart w:id="54" w:name="_Toc7587"/>
      <w:bookmarkStart w:id="55" w:name="_Toc155969628"/>
      <w:bookmarkStart w:id="56" w:name="_Toc26986531"/>
      <w:r>
        <w:rPr>
          <w:rFonts w:hint="eastAsia" w:ascii="Times New Roman"/>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ascii="Times New Roman"/>
        </w:rPr>
        <w:id w:val="715848253"/>
        <w:placeholder>
          <w:docPart w:val="2B5D196DF7AE4D069BADC8A3BCAA267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Times New Roman"/>
        </w:rPr>
      </w:sdtEndPr>
      <w:sdtContent>
        <w:p>
          <w:pPr>
            <w:pStyle w:val="57"/>
            <w:ind w:firstLine="420"/>
            <w:rPr>
              <w:rFonts w:ascii="Times New Roman"/>
            </w:rPr>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ascii="Times New Roman"/>
        </w:rPr>
      </w:pPr>
      <w:r>
        <w:rPr>
          <w:rFonts w:hint="eastAsia" w:ascii="Times New Roman"/>
        </w:rPr>
        <w:t>NY 475 梨苗木</w:t>
      </w:r>
    </w:p>
    <w:p>
      <w:pPr>
        <w:pStyle w:val="57"/>
        <w:ind w:firstLine="420"/>
        <w:rPr>
          <w:rFonts w:ascii="Times New Roman"/>
        </w:rPr>
      </w:pPr>
      <w:r>
        <w:rPr>
          <w:rFonts w:hint="eastAsia" w:ascii="Times New Roman"/>
        </w:rPr>
        <w:t>NY/T 442 梨生产技术规程</w:t>
      </w:r>
    </w:p>
    <w:p>
      <w:pPr>
        <w:pStyle w:val="57"/>
        <w:ind w:firstLine="420"/>
        <w:rPr>
          <w:rFonts w:ascii="Times New Roman"/>
        </w:rPr>
      </w:pPr>
      <w:r>
        <w:rPr>
          <w:rFonts w:hint="eastAsia" w:ascii="Times New Roman"/>
        </w:rPr>
        <w:t>NY/T 5010 无公害农产品种植业产地环境条件</w:t>
      </w:r>
      <w:bookmarkStart w:id="57" w:name="_Toc155969709"/>
      <w:bookmarkStart w:id="58" w:name="_Toc155969752"/>
      <w:bookmarkStart w:id="59" w:name="_Toc155969635"/>
    </w:p>
    <w:p>
      <w:pPr>
        <w:pStyle w:val="105"/>
        <w:spacing w:before="312" w:after="312"/>
        <w:rPr>
          <w:rFonts w:ascii="Times New Roman"/>
        </w:rPr>
      </w:pPr>
      <w:bookmarkStart w:id="60" w:name="_Toc3366"/>
      <w:bookmarkStart w:id="61" w:name="_Toc173508391"/>
      <w:r>
        <w:rPr>
          <w:rFonts w:hint="eastAsia" w:ascii="Times New Roman"/>
        </w:rPr>
        <w:t>术语和定义</w:t>
      </w:r>
      <w:bookmarkEnd w:id="60"/>
      <w:bookmarkEnd w:id="61"/>
    </w:p>
    <w:p>
      <w:pPr>
        <w:pStyle w:val="57"/>
        <w:ind w:firstLine="420"/>
        <w:rPr>
          <w:rFonts w:ascii="Times New Roman"/>
        </w:rPr>
      </w:pPr>
      <w:r>
        <w:rPr>
          <w:rFonts w:hint="eastAsia" w:ascii="Times New Roman"/>
        </w:rPr>
        <w:t>本文没有需要界定的术语和定义。</w:t>
      </w:r>
    </w:p>
    <w:p>
      <w:pPr>
        <w:pStyle w:val="105"/>
        <w:spacing w:before="312" w:after="312"/>
        <w:rPr>
          <w:rFonts w:ascii="Times New Roman" w:eastAsia="宋体"/>
        </w:rPr>
      </w:pPr>
      <w:bookmarkStart w:id="62" w:name="_Toc4629"/>
      <w:bookmarkStart w:id="63" w:name="_Toc173508392"/>
      <w:r>
        <w:rPr>
          <w:rFonts w:hint="eastAsia" w:ascii="Times New Roman"/>
        </w:rPr>
        <w:t>产地环境条件</w:t>
      </w:r>
      <w:bookmarkEnd w:id="57"/>
      <w:bookmarkEnd w:id="58"/>
      <w:bookmarkEnd w:id="59"/>
      <w:bookmarkEnd w:id="62"/>
      <w:bookmarkEnd w:id="63"/>
    </w:p>
    <w:p>
      <w:pPr>
        <w:pStyle w:val="106"/>
        <w:spacing w:before="156" w:after="156"/>
        <w:rPr>
          <w:rFonts w:ascii="Times New Roman"/>
        </w:rPr>
      </w:pPr>
      <w:bookmarkStart w:id="64" w:name="_Toc155969710"/>
      <w:bookmarkStart w:id="65" w:name="_Toc155969636"/>
      <w:r>
        <w:rPr>
          <w:rFonts w:hint="eastAsia" w:ascii="Times New Roman"/>
        </w:rPr>
        <w:t>气候条件</w:t>
      </w:r>
      <w:bookmarkEnd w:id="64"/>
      <w:bookmarkEnd w:id="65"/>
    </w:p>
    <w:p>
      <w:pPr>
        <w:pStyle w:val="57"/>
        <w:ind w:firstLine="420"/>
        <w:rPr>
          <w:rFonts w:ascii="Times New Roman"/>
        </w:rPr>
      </w:pPr>
      <w:bookmarkStart w:id="66" w:name="_Toc155969637"/>
      <w:r>
        <w:rPr>
          <w:rFonts w:hint="eastAsia" w:ascii="Times New Roman"/>
        </w:rPr>
        <w:t>年平均温度为</w:t>
      </w:r>
      <w:r>
        <w:rPr>
          <w:rFonts w:hint="default" w:ascii="Times New Roman" w:hAnsi="Times New Roman" w:cs="Times New Roman"/>
        </w:rPr>
        <w:t>7.8 ℃～15 ℃，</w:t>
      </w:r>
      <w:r>
        <w:rPr>
          <w:rFonts w:hint="eastAsia" w:ascii="Times New Roman"/>
        </w:rPr>
        <w:t>年日照时数≥2500 h，无霜期≥150 d。</w:t>
      </w:r>
      <w:bookmarkEnd w:id="66"/>
    </w:p>
    <w:p>
      <w:pPr>
        <w:pStyle w:val="106"/>
        <w:spacing w:before="156" w:after="156"/>
        <w:rPr>
          <w:rFonts w:ascii="Times New Roman"/>
        </w:rPr>
      </w:pPr>
      <w:bookmarkStart w:id="67" w:name="_Toc155969711"/>
      <w:bookmarkStart w:id="68" w:name="_Toc155969638"/>
      <w:r>
        <w:rPr>
          <w:rFonts w:hint="eastAsia" w:ascii="Times New Roman"/>
        </w:rPr>
        <w:t>土壤条件</w:t>
      </w:r>
      <w:bookmarkEnd w:id="67"/>
      <w:bookmarkEnd w:id="68"/>
    </w:p>
    <w:p>
      <w:pPr>
        <w:pStyle w:val="57"/>
        <w:ind w:firstLine="420"/>
        <w:rPr>
          <w:rFonts w:ascii="Times New Roman"/>
        </w:rPr>
      </w:pPr>
      <w:bookmarkStart w:id="69" w:name="_Toc155969639"/>
      <w:r>
        <w:rPr>
          <w:rFonts w:hint="eastAsia" w:ascii="Times New Roman"/>
        </w:rPr>
        <w:t>土层深厚≥1.5 m、有机质含量≥1.0%、地下水位2.0 m</w:t>
      </w:r>
      <w:r>
        <w:rPr>
          <w:rFonts w:hint="eastAsia" w:ascii="Times New Roman"/>
          <w:lang w:val="en-US" w:eastAsia="zh-CN"/>
        </w:rPr>
        <w:t xml:space="preserve"> </w:t>
      </w:r>
      <w:r>
        <w:rPr>
          <w:rFonts w:hint="eastAsia" w:ascii="Times New Roman"/>
        </w:rPr>
        <w:t>以下的沙壤或壤土，土壤pH值5.8～8.5。</w:t>
      </w:r>
      <w:bookmarkEnd w:id="69"/>
    </w:p>
    <w:p>
      <w:pPr>
        <w:pStyle w:val="106"/>
        <w:spacing w:before="156" w:after="156"/>
        <w:rPr>
          <w:rFonts w:ascii="Times New Roman"/>
        </w:rPr>
      </w:pPr>
      <w:bookmarkStart w:id="70" w:name="_Toc155969640"/>
      <w:bookmarkStart w:id="71" w:name="_Toc155969712"/>
      <w:r>
        <w:rPr>
          <w:rFonts w:hint="eastAsia" w:ascii="Times New Roman"/>
        </w:rPr>
        <w:t>地形地势</w:t>
      </w:r>
      <w:bookmarkEnd w:id="70"/>
      <w:bookmarkEnd w:id="71"/>
    </w:p>
    <w:p>
      <w:pPr>
        <w:pStyle w:val="57"/>
        <w:ind w:firstLine="420"/>
        <w:rPr>
          <w:rFonts w:ascii="Times New Roman"/>
        </w:rPr>
      </w:pPr>
      <w:bookmarkStart w:id="72" w:name="_Toc155969641"/>
      <w:r>
        <w:rPr>
          <w:rFonts w:hint="eastAsia" w:ascii="Times New Roman"/>
        </w:rPr>
        <w:t>适宜于平地、坡地和山区丘陵土地，排水良好，背风向阳。适宜海拔高度400 m～1 000 m。</w:t>
      </w:r>
      <w:bookmarkEnd w:id="72"/>
    </w:p>
    <w:p>
      <w:pPr>
        <w:pStyle w:val="105"/>
        <w:spacing w:before="312" w:after="312"/>
        <w:rPr>
          <w:rFonts w:ascii="Times New Roman"/>
        </w:rPr>
      </w:pPr>
      <w:bookmarkStart w:id="73" w:name="_Toc84"/>
      <w:bookmarkStart w:id="74" w:name="_Toc173508393"/>
      <w:bookmarkStart w:id="75" w:name="_Toc155969713"/>
      <w:bookmarkStart w:id="76" w:name="_Toc155969753"/>
      <w:bookmarkStart w:id="77" w:name="_Toc155969642"/>
      <w:r>
        <w:rPr>
          <w:rFonts w:hint="eastAsia" w:ascii="Times New Roman"/>
        </w:rPr>
        <w:t>建园</w:t>
      </w:r>
      <w:bookmarkEnd w:id="73"/>
      <w:bookmarkEnd w:id="74"/>
    </w:p>
    <w:bookmarkEnd w:id="75"/>
    <w:bookmarkEnd w:id="76"/>
    <w:bookmarkEnd w:id="77"/>
    <w:p>
      <w:pPr>
        <w:pStyle w:val="106"/>
        <w:spacing w:before="156" w:after="156"/>
        <w:rPr>
          <w:rFonts w:ascii="Times New Roman"/>
        </w:rPr>
      </w:pPr>
      <w:bookmarkStart w:id="78" w:name="_Toc155969714"/>
      <w:bookmarkStart w:id="79" w:name="_Toc155969643"/>
      <w:r>
        <w:rPr>
          <w:rFonts w:hint="eastAsia" w:ascii="Times New Roman"/>
        </w:rPr>
        <w:t>授粉树配置</w:t>
      </w:r>
    </w:p>
    <w:p>
      <w:pPr>
        <w:pStyle w:val="57"/>
        <w:ind w:firstLine="420"/>
        <w:rPr>
          <w:rFonts w:ascii="Times New Roman"/>
        </w:rPr>
      </w:pPr>
      <w:r>
        <w:rPr>
          <w:rFonts w:hint="eastAsia" w:ascii="Times New Roman"/>
        </w:rPr>
        <w:t>授粉品种选择花期能够相遇的皇冠梨、巴梨、</w:t>
      </w:r>
      <w:r>
        <w:rPr>
          <w:rFonts w:ascii="Times New Roman" w:cs="宋体"/>
        </w:rPr>
        <w:t>鸭梨、</w:t>
      </w:r>
      <w:r>
        <w:rPr>
          <w:rFonts w:hint="eastAsia" w:ascii="Times New Roman" w:cs="宋体"/>
        </w:rPr>
        <w:t>红香酥、</w:t>
      </w:r>
      <w:r>
        <w:rPr>
          <w:rFonts w:ascii="Times New Roman" w:cs="宋体"/>
        </w:rPr>
        <w:t>雪花</w:t>
      </w:r>
      <w:r>
        <w:rPr>
          <w:rFonts w:ascii="Times New Roman" w:cs="宋体"/>
          <w:color w:val="000000" w:themeColor="text1"/>
        </w:rPr>
        <w:t>梨</w:t>
      </w:r>
      <w:r>
        <w:rPr>
          <w:rFonts w:hint="eastAsia" w:ascii="Times New Roman" w:cs="宋体"/>
          <w:color w:val="000000" w:themeColor="text1"/>
        </w:rPr>
        <w:t>等。</w:t>
      </w:r>
      <w:r>
        <w:rPr>
          <w:rFonts w:hint="eastAsia" w:ascii="Times New Roman"/>
        </w:rPr>
        <w:t>主栽品种与授粉品种的比例为（4～8）：1，配置方式为隔行栽植为主也可行内间隔种植。</w:t>
      </w:r>
    </w:p>
    <w:bookmarkEnd w:id="78"/>
    <w:bookmarkEnd w:id="79"/>
    <w:p>
      <w:pPr>
        <w:pStyle w:val="106"/>
        <w:spacing w:before="156" w:after="156"/>
        <w:rPr>
          <w:rFonts w:ascii="Times New Roman"/>
        </w:rPr>
      </w:pPr>
      <w:r>
        <w:rPr>
          <w:rFonts w:hint="eastAsia" w:ascii="Times New Roman"/>
        </w:rPr>
        <w:t>砧木选择</w:t>
      </w:r>
    </w:p>
    <w:p>
      <w:pPr>
        <w:pStyle w:val="232"/>
        <w:rPr>
          <w:rFonts w:ascii="Times New Roman"/>
        </w:rPr>
      </w:pPr>
      <w:r>
        <w:rPr>
          <w:rFonts w:hint="eastAsia" w:ascii="Times New Roman" w:cs="宋体"/>
          <w:color w:val="000000" w:themeColor="text1"/>
        </w:rPr>
        <w:t>砧木为杜梨。</w:t>
      </w:r>
    </w:p>
    <w:p>
      <w:pPr>
        <w:pStyle w:val="106"/>
        <w:spacing w:before="156" w:after="156"/>
        <w:rPr>
          <w:rFonts w:ascii="Times New Roman"/>
        </w:rPr>
      </w:pPr>
      <w:bookmarkStart w:id="80" w:name="_Toc155969646"/>
      <w:bookmarkStart w:id="81" w:name="_Toc155969717"/>
      <w:r>
        <w:rPr>
          <w:rFonts w:hint="eastAsia" w:ascii="Times New Roman"/>
        </w:rPr>
        <w:t>栽植密度</w:t>
      </w:r>
      <w:bookmarkEnd w:id="80"/>
      <w:bookmarkEnd w:id="81"/>
    </w:p>
    <w:p>
      <w:pPr>
        <w:pStyle w:val="57"/>
        <w:ind w:firstLine="420"/>
        <w:rPr>
          <w:rFonts w:ascii="Times New Roman"/>
        </w:rPr>
      </w:pPr>
      <w:r>
        <w:rPr>
          <w:rFonts w:hint="eastAsia" w:ascii="Times New Roman"/>
        </w:rPr>
        <w:t>栽植密度根据立地条件、土壤水肥、树形和管理水平确定，株行距为(2 m～3 m)×(3 m～5 m )。</w:t>
      </w:r>
    </w:p>
    <w:p>
      <w:pPr>
        <w:pStyle w:val="106"/>
        <w:spacing w:before="156" w:after="156"/>
        <w:rPr>
          <w:rFonts w:ascii="Times New Roman"/>
        </w:rPr>
      </w:pPr>
      <w:bookmarkStart w:id="82" w:name="_Toc155969718"/>
      <w:bookmarkStart w:id="83" w:name="_Toc155969647"/>
      <w:r>
        <w:rPr>
          <w:rFonts w:hint="eastAsia" w:ascii="Times New Roman"/>
        </w:rPr>
        <w:t>栽植时期</w:t>
      </w:r>
      <w:bookmarkEnd w:id="82"/>
      <w:bookmarkEnd w:id="83"/>
    </w:p>
    <w:p>
      <w:pPr>
        <w:pStyle w:val="57"/>
        <w:ind w:firstLine="420"/>
        <w:rPr>
          <w:rFonts w:ascii="Times New Roman"/>
        </w:rPr>
      </w:pPr>
      <w:r>
        <w:rPr>
          <w:rFonts w:hint="eastAsia" w:ascii="Times New Roman"/>
        </w:rPr>
        <w:t>秋末落叶后到土壤封冻前；土壤解冻到春季萌芽前。</w:t>
      </w:r>
    </w:p>
    <w:p>
      <w:pPr>
        <w:pStyle w:val="106"/>
        <w:spacing w:before="156" w:after="156"/>
        <w:rPr>
          <w:rFonts w:ascii="Times New Roman"/>
        </w:rPr>
      </w:pPr>
      <w:bookmarkStart w:id="84" w:name="_Toc155969719"/>
      <w:bookmarkStart w:id="85" w:name="_Toc155969648"/>
      <w:r>
        <w:rPr>
          <w:rFonts w:hint="eastAsia" w:ascii="Times New Roman"/>
        </w:rPr>
        <w:t>挖穴</w:t>
      </w:r>
      <w:bookmarkEnd w:id="84"/>
      <w:bookmarkEnd w:id="85"/>
    </w:p>
    <w:p>
      <w:pPr>
        <w:pStyle w:val="57"/>
        <w:ind w:firstLine="420"/>
        <w:rPr>
          <w:rFonts w:ascii="Times New Roman"/>
        </w:rPr>
      </w:pPr>
      <w:r>
        <w:rPr>
          <w:rFonts w:hint="eastAsia" w:ascii="Times New Roman"/>
        </w:rPr>
        <w:t>于前一年落叶以后到封冻之前或当年发芽前，以定植点为中心挖穴，直径60 cm～80 cm、深80 cm～100 cm，将底土和表土分放。</w:t>
      </w:r>
    </w:p>
    <w:p>
      <w:pPr>
        <w:pStyle w:val="106"/>
        <w:spacing w:before="156" w:after="156"/>
        <w:rPr>
          <w:rFonts w:ascii="Times New Roman"/>
        </w:rPr>
      </w:pPr>
      <w:bookmarkStart w:id="86" w:name="_Toc155969720"/>
      <w:bookmarkStart w:id="87" w:name="_Toc155969649"/>
      <w:r>
        <w:rPr>
          <w:rFonts w:hint="eastAsia" w:ascii="Times New Roman"/>
        </w:rPr>
        <w:t>施肥</w:t>
      </w:r>
      <w:bookmarkEnd w:id="86"/>
      <w:bookmarkEnd w:id="87"/>
    </w:p>
    <w:p>
      <w:pPr>
        <w:pStyle w:val="57"/>
        <w:ind w:firstLine="420"/>
        <w:rPr>
          <w:rFonts w:ascii="Times New Roman"/>
        </w:rPr>
      </w:pPr>
      <w:r>
        <w:rPr>
          <w:rFonts w:hint="eastAsia" w:ascii="Times New Roman"/>
        </w:rPr>
        <w:t>坑底覆10 cm～15 cm作物秸秆后，将充分腐熟的农家肥与表土混匀回填，有条件的地方灌透水。</w:t>
      </w:r>
    </w:p>
    <w:p>
      <w:pPr>
        <w:pStyle w:val="106"/>
        <w:spacing w:before="156" w:after="156"/>
        <w:rPr>
          <w:rFonts w:ascii="Times New Roman"/>
        </w:rPr>
      </w:pPr>
      <w:bookmarkStart w:id="88" w:name="_Toc155969721"/>
      <w:bookmarkStart w:id="89" w:name="_Toc155969650"/>
      <w:r>
        <w:rPr>
          <w:rFonts w:hint="eastAsia" w:ascii="Times New Roman"/>
        </w:rPr>
        <w:t>苗木选择</w:t>
      </w:r>
      <w:bookmarkEnd w:id="88"/>
      <w:bookmarkEnd w:id="89"/>
    </w:p>
    <w:p>
      <w:pPr>
        <w:pStyle w:val="57"/>
        <w:ind w:firstLine="420"/>
        <w:rPr>
          <w:rFonts w:ascii="Times New Roman"/>
        </w:rPr>
      </w:pPr>
      <w:r>
        <w:rPr>
          <w:rFonts w:hint="eastAsia" w:ascii="Times New Roman"/>
        </w:rPr>
        <w:t>选择优质合格苗木，苗木质量符合NY 475，于定植前将根系浸入水中24 h，然后栽植。</w:t>
      </w:r>
    </w:p>
    <w:p>
      <w:pPr>
        <w:pStyle w:val="106"/>
        <w:spacing w:before="156" w:after="156"/>
        <w:rPr>
          <w:rFonts w:ascii="Times New Roman"/>
        </w:rPr>
      </w:pPr>
      <w:r>
        <w:rPr>
          <w:rFonts w:hint="eastAsia" w:ascii="Times New Roman"/>
        </w:rPr>
        <w:t>栽植</w:t>
      </w:r>
    </w:p>
    <w:p>
      <w:pPr>
        <w:pStyle w:val="57"/>
        <w:ind w:firstLine="420"/>
        <w:rPr>
          <w:rFonts w:ascii="Times New Roman"/>
        </w:rPr>
      </w:pPr>
      <w:r>
        <w:rPr>
          <w:rFonts w:hint="eastAsia" w:ascii="Times New Roman"/>
        </w:rPr>
        <w:t>定植时将苗木垂直放入栽植穴内，栽植深</w:t>
      </w:r>
      <w:bookmarkStart w:id="149" w:name="_GoBack"/>
      <w:bookmarkEnd w:id="149"/>
      <w:r>
        <w:rPr>
          <w:rFonts w:hint="eastAsia" w:ascii="Times New Roman"/>
        </w:rPr>
        <w:t>度以苗木嫁接口高于地平面3 cm～5 cm 。矫正栽植位置后埋土，边埋边轻提苗木，当填至大半穴土时，轻踩使苗木固定最后将填土踩实，使接口高于地3 cm～5 cm，修树盘，覆膜。</w:t>
      </w:r>
    </w:p>
    <w:p>
      <w:pPr>
        <w:pStyle w:val="106"/>
        <w:spacing w:before="156" w:after="156"/>
        <w:rPr>
          <w:rFonts w:ascii="Times New Roman"/>
        </w:rPr>
      </w:pPr>
      <w:bookmarkStart w:id="90" w:name="_Toc155969654"/>
      <w:bookmarkStart w:id="91" w:name="_Toc155969725"/>
      <w:r>
        <w:rPr>
          <w:rFonts w:hint="eastAsia" w:ascii="Times New Roman"/>
        </w:rPr>
        <w:t>定干</w:t>
      </w:r>
      <w:bookmarkEnd w:id="90"/>
      <w:bookmarkEnd w:id="91"/>
    </w:p>
    <w:p>
      <w:pPr>
        <w:pStyle w:val="57"/>
        <w:ind w:firstLine="420"/>
        <w:rPr>
          <w:rFonts w:ascii="Times New Roman"/>
        </w:rPr>
      </w:pPr>
      <w:r>
        <w:rPr>
          <w:rFonts w:hint="eastAsia" w:ascii="Times New Roman"/>
        </w:rPr>
        <w:t>根据树形定干，纺锤形高度50 cm～60 cm，小冠疏层形高度80 cm～100 cm。</w:t>
      </w:r>
    </w:p>
    <w:p>
      <w:pPr>
        <w:pStyle w:val="106"/>
        <w:spacing w:before="156" w:after="156"/>
        <w:rPr>
          <w:rFonts w:ascii="Times New Roman"/>
        </w:rPr>
      </w:pPr>
      <w:bookmarkStart w:id="92" w:name="_Toc155969726"/>
      <w:bookmarkStart w:id="93" w:name="_Toc155969655"/>
      <w:r>
        <w:rPr>
          <w:rFonts w:hint="eastAsia" w:ascii="Times New Roman"/>
        </w:rPr>
        <w:t>刻芽</w:t>
      </w:r>
      <w:bookmarkEnd w:id="92"/>
      <w:bookmarkEnd w:id="93"/>
    </w:p>
    <w:p>
      <w:pPr>
        <w:pStyle w:val="57"/>
        <w:ind w:left="105" w:leftChars="50" w:firstLine="315" w:firstLineChars="150"/>
        <w:rPr>
          <w:rFonts w:ascii="Times New Roman"/>
        </w:rPr>
      </w:pPr>
      <w:r>
        <w:rPr>
          <w:rFonts w:hint="eastAsia" w:ascii="Times New Roman"/>
        </w:rPr>
        <w:t>根据树形定干后，对剪口下第二至第六芽之间的饱满芽，选择不同方向的刻3个，在芽上方0.5 cm处刻伤，促发长枝。</w:t>
      </w:r>
    </w:p>
    <w:p>
      <w:pPr>
        <w:pStyle w:val="106"/>
        <w:spacing w:before="156" w:after="156"/>
        <w:rPr>
          <w:rFonts w:ascii="Times New Roman"/>
        </w:rPr>
      </w:pPr>
      <w:bookmarkStart w:id="94" w:name="_Toc155969727"/>
      <w:bookmarkStart w:id="95" w:name="_Toc155969656"/>
      <w:r>
        <w:rPr>
          <w:rFonts w:hint="eastAsia" w:ascii="Times New Roman"/>
        </w:rPr>
        <w:t>套袋</w:t>
      </w:r>
      <w:bookmarkEnd w:id="94"/>
      <w:bookmarkEnd w:id="95"/>
    </w:p>
    <w:p>
      <w:pPr>
        <w:pStyle w:val="57"/>
        <w:ind w:firstLine="420"/>
        <w:rPr>
          <w:rFonts w:ascii="Times New Roman"/>
        </w:rPr>
      </w:pPr>
      <w:r>
        <w:rPr>
          <w:rFonts w:hint="eastAsia" w:ascii="Times New Roman"/>
        </w:rPr>
        <w:t>从树干顶部套入长50 cm、宽10 cm 的塑料袋，用绳将上、中、下部绑实，叶片长至贴到塑料上时，及时扎孔放风，待塑料袋影响新梢生长时摘掉。</w:t>
      </w:r>
    </w:p>
    <w:p>
      <w:pPr>
        <w:pStyle w:val="106"/>
        <w:spacing w:before="156" w:after="156"/>
        <w:rPr>
          <w:rFonts w:ascii="Times New Roman"/>
        </w:rPr>
      </w:pPr>
      <w:bookmarkStart w:id="96" w:name="_Toc155969728"/>
      <w:bookmarkStart w:id="97" w:name="_Toc155969657"/>
      <w:r>
        <w:rPr>
          <w:rFonts w:hint="eastAsia" w:ascii="Times New Roman"/>
        </w:rPr>
        <w:t>去萌芽</w:t>
      </w:r>
      <w:bookmarkEnd w:id="96"/>
      <w:bookmarkEnd w:id="97"/>
    </w:p>
    <w:p>
      <w:pPr>
        <w:pStyle w:val="57"/>
        <w:ind w:firstLine="420"/>
        <w:rPr>
          <w:rFonts w:ascii="Times New Roman"/>
        </w:rPr>
      </w:pPr>
      <w:r>
        <w:rPr>
          <w:rFonts w:hint="eastAsia" w:ascii="Times New Roman"/>
        </w:rPr>
        <w:t>苗木成活发芽后，及时抹除苗木上距地面40 cm～50 cm 以下的萌芽。</w:t>
      </w:r>
    </w:p>
    <w:p>
      <w:pPr>
        <w:pStyle w:val="105"/>
        <w:spacing w:before="312" w:after="312"/>
        <w:rPr>
          <w:rFonts w:ascii="Times New Roman"/>
        </w:rPr>
      </w:pPr>
      <w:bookmarkStart w:id="98" w:name="_Toc155969733"/>
      <w:bookmarkStart w:id="99" w:name="_Toc155969662"/>
      <w:bookmarkStart w:id="100" w:name="_Toc155969757"/>
      <w:bookmarkStart w:id="101" w:name="_Toc173508394"/>
      <w:bookmarkStart w:id="102" w:name="_Toc6183"/>
      <w:r>
        <w:rPr>
          <w:rFonts w:hint="eastAsia" w:ascii="Times New Roman"/>
        </w:rPr>
        <w:t>整形修剪</w:t>
      </w:r>
      <w:bookmarkEnd w:id="98"/>
      <w:bookmarkEnd w:id="99"/>
      <w:bookmarkEnd w:id="100"/>
      <w:bookmarkEnd w:id="101"/>
      <w:bookmarkEnd w:id="102"/>
    </w:p>
    <w:p>
      <w:pPr>
        <w:pStyle w:val="106"/>
        <w:spacing w:before="156" w:after="156"/>
        <w:rPr>
          <w:rFonts w:ascii="Times New Roman"/>
        </w:rPr>
      </w:pPr>
      <w:bookmarkStart w:id="103" w:name="_Toc155969663"/>
      <w:bookmarkStart w:id="104" w:name="_Toc155969734"/>
      <w:r>
        <w:rPr>
          <w:rFonts w:hint="eastAsia" w:ascii="Times New Roman"/>
        </w:rPr>
        <w:t>树形</w:t>
      </w:r>
      <w:bookmarkEnd w:id="103"/>
      <w:bookmarkEnd w:id="104"/>
    </w:p>
    <w:p>
      <w:pPr>
        <w:pStyle w:val="66"/>
        <w:spacing w:before="156" w:after="156"/>
        <w:rPr>
          <w:rFonts w:ascii="Times New Roman"/>
        </w:rPr>
      </w:pPr>
      <w:r>
        <w:rPr>
          <w:rFonts w:hint="eastAsia" w:ascii="Times New Roman"/>
        </w:rPr>
        <w:t>小冠疏层形</w:t>
      </w:r>
    </w:p>
    <w:p>
      <w:pPr>
        <w:pStyle w:val="57"/>
        <w:ind w:firstLine="420"/>
        <w:rPr>
          <w:rFonts w:ascii="Times New Roman"/>
        </w:rPr>
      </w:pPr>
      <w:r>
        <w:rPr>
          <w:rFonts w:hint="eastAsia" w:ascii="Times New Roman"/>
        </w:rPr>
        <w:t>树高3 m 左右，干高60 cm～80 cm 左右，冠幅3.0 m～3.5 m 左右，树冠呈半圆形。第一层有主枝3个，层内距30 cm。第二层有主枝3个，层内距40 cm。第一层与第二层主枝间距80 cm～100 cm。主枝上不配备大型侧枝，直接着生大、中、小型结果枝组。</w:t>
      </w:r>
    </w:p>
    <w:p>
      <w:pPr>
        <w:pStyle w:val="66"/>
        <w:spacing w:before="156" w:after="156"/>
        <w:rPr>
          <w:rFonts w:ascii="Times New Roman"/>
        </w:rPr>
      </w:pPr>
      <w:r>
        <w:rPr>
          <w:rFonts w:hint="eastAsia" w:ascii="Times New Roman"/>
        </w:rPr>
        <w:t>纺锤形</w:t>
      </w:r>
    </w:p>
    <w:p>
      <w:pPr>
        <w:pStyle w:val="57"/>
        <w:ind w:firstLine="420"/>
        <w:rPr>
          <w:rFonts w:ascii="Times New Roman"/>
        </w:rPr>
      </w:pPr>
      <w:r>
        <w:rPr>
          <w:rFonts w:hint="eastAsia" w:ascii="Times New Roman"/>
        </w:rPr>
        <w:t>树高2.5 m～3.5 m，干高40 cm～50 cm，中心干直立，骨干枝长1 m～2 m，在中心干上呈螺旋形均匀排列，12个～15个左右，每个骨干枝间距30 cm～40 cm，不分层次。骨干枝角度60°～80°，骨干枝上不留侧枝，直接着生中、小型结果枝组，一个骨干枝就是一个结果枝群。</w:t>
      </w:r>
    </w:p>
    <w:p>
      <w:pPr>
        <w:pStyle w:val="106"/>
        <w:spacing w:before="156" w:after="156"/>
        <w:rPr>
          <w:rFonts w:ascii="Times New Roman"/>
        </w:rPr>
      </w:pPr>
      <w:bookmarkStart w:id="105" w:name="_Toc155969664"/>
      <w:bookmarkStart w:id="106" w:name="_Toc155969735"/>
      <w:r>
        <w:rPr>
          <w:rFonts w:hint="eastAsia" w:ascii="Times New Roman"/>
        </w:rPr>
        <w:t>修剪</w:t>
      </w:r>
      <w:bookmarkEnd w:id="105"/>
      <w:bookmarkEnd w:id="106"/>
    </w:p>
    <w:p>
      <w:pPr>
        <w:pStyle w:val="66"/>
        <w:spacing w:before="156" w:after="156"/>
        <w:rPr>
          <w:rFonts w:ascii="Times New Roman"/>
        </w:rPr>
      </w:pPr>
      <w:r>
        <w:rPr>
          <w:rFonts w:hint="eastAsia" w:ascii="Times New Roman"/>
        </w:rPr>
        <w:t>幼树修剪</w:t>
      </w:r>
    </w:p>
    <w:p>
      <w:pPr>
        <w:pStyle w:val="57"/>
        <w:ind w:firstLine="420"/>
        <w:rPr>
          <w:rFonts w:ascii="Times New Roman"/>
        </w:rPr>
      </w:pPr>
      <w:r>
        <w:rPr>
          <w:rFonts w:hint="eastAsia" w:ascii="Times New Roman"/>
        </w:rPr>
        <w:t>根据栽植模式选取树形，不同的树形定干、选留主枝或骨干枝，主枝或骨干枝配齐后，中心干要落头开心。</w:t>
      </w:r>
    </w:p>
    <w:p>
      <w:pPr>
        <w:pStyle w:val="66"/>
        <w:spacing w:before="156" w:after="156"/>
        <w:rPr>
          <w:rFonts w:ascii="Times New Roman"/>
        </w:rPr>
      </w:pPr>
      <w:r>
        <w:rPr>
          <w:rFonts w:hint="eastAsia" w:ascii="Times New Roman"/>
        </w:rPr>
        <w:t>成年树修剪</w:t>
      </w:r>
    </w:p>
    <w:p>
      <w:pPr>
        <w:pStyle w:val="57"/>
        <w:ind w:firstLine="420"/>
        <w:rPr>
          <w:rFonts w:ascii="Times New Roman"/>
        </w:rPr>
      </w:pPr>
      <w:r>
        <w:rPr>
          <w:rFonts w:hint="eastAsia" w:ascii="Times New Roman"/>
        </w:rPr>
        <w:t>冬剪：成年树以疏枝、短剪、缩剪为主。剪除病虫枝、干枯枝，疏剪密弱枝、剪除背上徒长枝和下垂枝，及时复壮更新结果枝组，保持生长结果平衡；疏除顶部过密枝，打开上部光路；疏除外围过密枝，打开侧面光路；对生长强旺的树，可采用主干环割、强枝环割、或多缓放、多留果等方法；对于弱树，采用多短截少缓放、抬高枝梢角度、回缩弱枝、少留果等方法；对于分枝和结果多年变长、变大、密挤、衰老、或组内、组间势力不均的结果枝组，采取选优去劣，去弱留壮，回缩更新的修剪方法，做到经常保持结果枝组年轻化。对于短果枝群，要去弱留强，去上留斜，去远留近，以维持短果枝群的健壮。</w:t>
      </w:r>
    </w:p>
    <w:p>
      <w:pPr>
        <w:pStyle w:val="57"/>
        <w:ind w:firstLine="420"/>
        <w:rPr>
          <w:rFonts w:ascii="Times New Roman"/>
        </w:rPr>
      </w:pPr>
      <w:r>
        <w:rPr>
          <w:rFonts w:hint="eastAsia" w:ascii="Times New Roman"/>
        </w:rPr>
        <w:t>夏剪：疏除内堂过密枝、徒长枝；拉枝开张角度。</w:t>
      </w:r>
    </w:p>
    <w:p>
      <w:pPr>
        <w:pStyle w:val="105"/>
        <w:spacing w:before="312" w:after="312"/>
        <w:rPr>
          <w:rFonts w:ascii="Times New Roman"/>
        </w:rPr>
      </w:pPr>
      <w:bookmarkStart w:id="107" w:name="_Toc155969758"/>
      <w:bookmarkStart w:id="108" w:name="_Toc155969736"/>
      <w:bookmarkStart w:id="109" w:name="_Toc173508395"/>
      <w:bookmarkStart w:id="110" w:name="_Toc155969665"/>
      <w:bookmarkStart w:id="111" w:name="_Toc23534"/>
      <w:r>
        <w:rPr>
          <w:rFonts w:hint="eastAsia" w:ascii="Times New Roman"/>
        </w:rPr>
        <w:t>花果管理</w:t>
      </w:r>
      <w:bookmarkEnd w:id="107"/>
      <w:bookmarkEnd w:id="108"/>
      <w:bookmarkEnd w:id="109"/>
      <w:bookmarkEnd w:id="110"/>
      <w:bookmarkEnd w:id="111"/>
    </w:p>
    <w:p>
      <w:pPr>
        <w:pStyle w:val="106"/>
        <w:spacing w:before="156" w:after="156"/>
        <w:rPr>
          <w:rFonts w:ascii="Times New Roman"/>
        </w:rPr>
      </w:pPr>
      <w:bookmarkStart w:id="112" w:name="_Toc155969666"/>
      <w:bookmarkStart w:id="113" w:name="_Toc155969737"/>
      <w:r>
        <w:rPr>
          <w:rFonts w:hint="eastAsia" w:ascii="Times New Roman"/>
        </w:rPr>
        <w:t>授粉</w:t>
      </w:r>
      <w:bookmarkEnd w:id="112"/>
      <w:bookmarkEnd w:id="113"/>
    </w:p>
    <w:p>
      <w:pPr>
        <w:pStyle w:val="66"/>
        <w:spacing w:before="156" w:after="156"/>
        <w:rPr>
          <w:rFonts w:ascii="Times New Roman"/>
        </w:rPr>
      </w:pPr>
      <w:r>
        <w:rPr>
          <w:rFonts w:hint="eastAsia" w:ascii="Times New Roman"/>
        </w:rPr>
        <w:t>放蜂授粉</w:t>
      </w:r>
    </w:p>
    <w:p>
      <w:pPr>
        <w:pStyle w:val="57"/>
        <w:ind w:firstLine="420"/>
        <w:rPr>
          <w:rFonts w:ascii="Times New Roman"/>
        </w:rPr>
      </w:pPr>
      <w:r>
        <w:rPr>
          <w:rFonts w:hint="eastAsia" w:ascii="Times New Roman"/>
        </w:rPr>
        <w:t>在开花前7 d～15 d，把蜜蜂引入梨园内，通过蜜蜂活动授粉，一般一箱蜜蜂授粉覆盖3×667 m</w:t>
      </w:r>
      <w:r>
        <w:rPr>
          <w:rFonts w:hint="eastAsia" w:ascii="Times New Roman"/>
          <w:vertAlign w:val="superscript"/>
        </w:rPr>
        <w:t xml:space="preserve">2 </w:t>
      </w:r>
      <w:r>
        <w:rPr>
          <w:rFonts w:hint="eastAsia" w:ascii="Times New Roman"/>
        </w:rPr>
        <w:t>～</w:t>
      </w:r>
      <w:r>
        <w:rPr>
          <w:rFonts w:hint="eastAsia" w:ascii="Times New Roman"/>
          <w:lang w:val="en-US" w:eastAsia="zh-CN"/>
        </w:rPr>
        <w:t>5</w:t>
      </w:r>
      <w:r>
        <w:rPr>
          <w:rFonts w:hint="eastAsia" w:ascii="Times New Roman"/>
        </w:rPr>
        <w:t>×667 m</w:t>
      </w:r>
      <w:r>
        <w:rPr>
          <w:rFonts w:hint="eastAsia" w:ascii="Times New Roman"/>
          <w:vertAlign w:val="superscript"/>
        </w:rPr>
        <w:t>2</w:t>
      </w:r>
      <w:r>
        <w:rPr>
          <w:rFonts w:hint="eastAsia" w:ascii="Times New Roman"/>
        </w:rPr>
        <w:t>。</w:t>
      </w:r>
    </w:p>
    <w:p>
      <w:pPr>
        <w:pStyle w:val="66"/>
        <w:spacing w:before="156" w:after="156"/>
        <w:rPr>
          <w:rFonts w:ascii="Times New Roman"/>
        </w:rPr>
      </w:pPr>
      <w:r>
        <w:rPr>
          <w:rFonts w:hint="eastAsia" w:ascii="Times New Roman"/>
        </w:rPr>
        <w:t>人工授粉</w:t>
      </w:r>
    </w:p>
    <w:p>
      <w:pPr>
        <w:pStyle w:val="95"/>
        <w:spacing w:before="156" w:after="156"/>
        <w:rPr>
          <w:rFonts w:ascii="Times New Roman"/>
        </w:rPr>
      </w:pPr>
      <w:r>
        <w:rPr>
          <w:rFonts w:hint="eastAsia" w:ascii="Times New Roman"/>
        </w:rPr>
        <w:t>花粉采集</w:t>
      </w:r>
    </w:p>
    <w:p>
      <w:pPr>
        <w:pStyle w:val="57"/>
        <w:ind w:firstLine="420"/>
        <w:rPr>
          <w:rFonts w:ascii="Times New Roman"/>
        </w:rPr>
      </w:pPr>
      <w:r>
        <w:rPr>
          <w:rFonts w:hint="eastAsia" w:ascii="Times New Roman"/>
        </w:rPr>
        <w:t>在开花前1 d～2 d，采集以授粉品种为主（一个或多个品种）的含苞待放的花朵，取其花药，制成混合花粉。</w:t>
      </w:r>
    </w:p>
    <w:p>
      <w:pPr>
        <w:pStyle w:val="95"/>
        <w:spacing w:before="156" w:after="156"/>
        <w:rPr>
          <w:rFonts w:ascii="Times New Roman"/>
        </w:rPr>
      </w:pPr>
      <w:r>
        <w:rPr>
          <w:rFonts w:hint="eastAsia" w:ascii="Times New Roman"/>
        </w:rPr>
        <w:t>花粉保存</w:t>
      </w:r>
    </w:p>
    <w:p>
      <w:pPr>
        <w:pStyle w:val="57"/>
        <w:ind w:firstLine="420"/>
        <w:rPr>
          <w:rFonts w:ascii="Times New Roman"/>
        </w:rPr>
      </w:pPr>
      <w:r>
        <w:rPr>
          <w:rFonts w:hint="eastAsia" w:ascii="Times New Roman"/>
        </w:rPr>
        <w:t>花粉制好后置于盛有干燥剂的容器中再放入</w:t>
      </w:r>
      <w:r>
        <w:rPr>
          <w:rFonts w:hint="default" w:ascii="Times New Roman" w:hAnsi="Times New Roman" w:cs="Times New Roman"/>
        </w:rPr>
        <w:t>2 ℃～8 ℃</w:t>
      </w:r>
      <w:r>
        <w:rPr>
          <w:rFonts w:hint="eastAsia" w:ascii="Times New Roman"/>
        </w:rPr>
        <w:t xml:space="preserve"> 冰箱冷藏或-</w:t>
      </w:r>
      <w:r>
        <w:rPr>
          <w:rFonts w:hint="default" w:ascii="Times New Roman" w:hAnsi="Times New Roman" w:cs="Times New Roman"/>
        </w:rPr>
        <w:t>20</w:t>
      </w:r>
      <w:r>
        <w:rPr>
          <w:rFonts w:hint="eastAsia" w:ascii="Times New Roman"/>
        </w:rPr>
        <w:t xml:space="preserve"> </w:t>
      </w:r>
      <w:r>
        <w:rPr>
          <w:rFonts w:hint="default" w:ascii="Times New Roman" w:hAnsi="Times New Roman" w:cs="Times New Roman"/>
        </w:rPr>
        <w:t xml:space="preserve">℃ </w:t>
      </w:r>
      <w:r>
        <w:rPr>
          <w:rFonts w:hint="eastAsia" w:ascii="Times New Roman"/>
        </w:rPr>
        <w:t>冰箱中贮藏（较长时间储存）。</w:t>
      </w:r>
    </w:p>
    <w:p>
      <w:pPr>
        <w:pStyle w:val="95"/>
        <w:spacing w:before="156" w:after="156"/>
        <w:rPr>
          <w:rFonts w:ascii="Times New Roman"/>
        </w:rPr>
      </w:pPr>
      <w:r>
        <w:rPr>
          <w:rFonts w:hint="eastAsia" w:ascii="Times New Roman"/>
        </w:rPr>
        <w:t>人工点授</w:t>
      </w:r>
    </w:p>
    <w:p>
      <w:pPr>
        <w:pStyle w:val="57"/>
        <w:ind w:firstLine="420"/>
        <w:rPr>
          <w:rFonts w:ascii="Times New Roman"/>
        </w:rPr>
      </w:pPr>
      <w:r>
        <w:rPr>
          <w:rFonts w:hint="eastAsia" w:ascii="Times New Roman"/>
        </w:rPr>
        <w:t>从初花期开始授粉。用毛笔、棉棒、或自制的软鸡毛棒等工具，蘸取少许花粉，轻轻点授到花的柱头上，每个花序点授边花第二或第三朵花，花多时不必每个花序都点授，按15 cm～20 cm左右间距点授1个～2个花序，每个花序点授1朵 ～2朵花。</w:t>
      </w:r>
    </w:p>
    <w:p>
      <w:pPr>
        <w:pStyle w:val="95"/>
        <w:spacing w:before="156" w:after="156"/>
        <w:rPr>
          <w:rFonts w:ascii="Times New Roman"/>
        </w:rPr>
      </w:pPr>
      <w:r>
        <w:rPr>
          <w:rFonts w:hint="eastAsia" w:ascii="Times New Roman"/>
        </w:rPr>
        <w:t>机械喷粉</w:t>
      </w:r>
    </w:p>
    <w:p>
      <w:pPr>
        <w:pStyle w:val="57"/>
        <w:ind w:firstLine="420"/>
        <w:rPr>
          <w:rFonts w:ascii="Times New Roman"/>
        </w:rPr>
      </w:pPr>
      <w:r>
        <w:rPr>
          <w:rFonts w:hint="eastAsia" w:ascii="Times New Roman"/>
        </w:rPr>
        <w:t>面积大时用此方法。在盛花期（花开50% 以上）进行授粉。电动授粉器授粉：按照机器要求比例添加填充剂后机器授粉；超微量喷雾器授粉：把花粉配制成花粉液，利用超微量喷雾器对着花朵柱头喷洒。</w:t>
      </w:r>
    </w:p>
    <w:p>
      <w:pPr>
        <w:pStyle w:val="57"/>
        <w:ind w:firstLine="420"/>
        <w:rPr>
          <w:rFonts w:ascii="Times New Roman"/>
        </w:rPr>
      </w:pPr>
    </w:p>
    <w:p>
      <w:pPr>
        <w:pStyle w:val="106"/>
        <w:spacing w:before="156" w:after="156"/>
        <w:rPr>
          <w:rFonts w:ascii="Times New Roman"/>
        </w:rPr>
      </w:pPr>
      <w:bookmarkStart w:id="114" w:name="_Toc155969667"/>
      <w:bookmarkStart w:id="115" w:name="_Toc155969738"/>
      <w:r>
        <w:rPr>
          <w:rFonts w:hint="eastAsia" w:ascii="Times New Roman"/>
        </w:rPr>
        <w:t>疏花疏果</w:t>
      </w:r>
      <w:bookmarkEnd w:id="114"/>
      <w:bookmarkEnd w:id="115"/>
    </w:p>
    <w:p>
      <w:pPr>
        <w:pStyle w:val="57"/>
        <w:ind w:firstLine="420"/>
        <w:rPr>
          <w:rFonts w:ascii="Times New Roman"/>
        </w:rPr>
      </w:pPr>
      <w:r>
        <w:rPr>
          <w:rFonts w:hint="eastAsia" w:ascii="Times New Roman"/>
        </w:rPr>
        <w:t>酥梨花量大，需要疏花蔬果。山西省花期气候多变不稳，疏花以疏花蕾和疏花序为主。疏果时期是盛花后4周开始。每一花序留一个果，要留边花果、端正果、大果，疏去畸形果、小果、病虫果。果与果之间以15 cm～20 cm左右留1个果。</w:t>
      </w:r>
    </w:p>
    <w:p>
      <w:pPr>
        <w:pStyle w:val="106"/>
        <w:spacing w:before="156" w:after="156"/>
        <w:rPr>
          <w:rFonts w:ascii="Times New Roman"/>
        </w:rPr>
      </w:pPr>
      <w:bookmarkStart w:id="116" w:name="_Toc155969668"/>
      <w:bookmarkStart w:id="117" w:name="_Toc155969739"/>
      <w:r>
        <w:rPr>
          <w:rFonts w:hint="eastAsia" w:ascii="Times New Roman"/>
        </w:rPr>
        <w:t>套袋</w:t>
      </w:r>
      <w:bookmarkEnd w:id="116"/>
      <w:bookmarkEnd w:id="117"/>
    </w:p>
    <w:p>
      <w:pPr>
        <w:pStyle w:val="57"/>
        <w:ind w:firstLine="420"/>
        <w:rPr>
          <w:rFonts w:ascii="Times New Roman"/>
        </w:rPr>
      </w:pPr>
      <w:r>
        <w:rPr>
          <w:rFonts w:hint="eastAsia" w:ascii="Times New Roman"/>
        </w:rPr>
        <w:t>盛花40 d后开始套袋。可选用高质量的单层或外褐内白的双层优质果袋，在套袋前喷施一次杀虫剂和杀菌剂。</w:t>
      </w:r>
    </w:p>
    <w:p>
      <w:pPr>
        <w:pStyle w:val="106"/>
        <w:spacing w:before="156" w:after="156"/>
        <w:rPr>
          <w:rFonts w:ascii="Times New Roman"/>
        </w:rPr>
      </w:pPr>
      <w:bookmarkStart w:id="118" w:name="_Toc155969675"/>
      <w:bookmarkStart w:id="119" w:name="_Toc155969746"/>
      <w:r>
        <w:rPr>
          <w:rFonts w:hint="eastAsia" w:ascii="Times New Roman"/>
        </w:rPr>
        <w:t>采收时期</w:t>
      </w:r>
      <w:bookmarkEnd w:id="118"/>
      <w:bookmarkEnd w:id="119"/>
    </w:p>
    <w:p>
      <w:pPr>
        <w:pStyle w:val="57"/>
        <w:ind w:firstLine="420"/>
        <w:rPr>
          <w:rFonts w:ascii="Times New Roman"/>
        </w:rPr>
      </w:pPr>
      <w:r>
        <w:rPr>
          <w:rFonts w:hint="eastAsia" w:ascii="Times New Roman"/>
        </w:rPr>
        <w:t>根据酥梨的品种特性，盛花后140 d 果实成熟。本地市场鲜销的果实应充分成熟，种子变为褐色，外观达到该品种应有的色泽时采收。需长途运输的外销果和贮藏果，达到八至九成熟时采收。</w:t>
      </w:r>
    </w:p>
    <w:p>
      <w:pPr>
        <w:pStyle w:val="106"/>
        <w:spacing w:before="156" w:after="156"/>
        <w:rPr>
          <w:rFonts w:ascii="Times New Roman"/>
        </w:rPr>
      </w:pPr>
      <w:bookmarkStart w:id="120" w:name="_Toc155969676"/>
      <w:bookmarkStart w:id="121" w:name="_Toc155969747"/>
      <w:r>
        <w:rPr>
          <w:rFonts w:hint="eastAsia" w:ascii="Times New Roman"/>
        </w:rPr>
        <w:t>采收方法</w:t>
      </w:r>
      <w:bookmarkEnd w:id="120"/>
      <w:bookmarkEnd w:id="121"/>
    </w:p>
    <w:p>
      <w:pPr>
        <w:pStyle w:val="57"/>
        <w:ind w:firstLine="420"/>
        <w:rPr>
          <w:rFonts w:ascii="Times New Roman"/>
        </w:rPr>
      </w:pPr>
      <w:r>
        <w:rPr>
          <w:rFonts w:hint="eastAsia" w:ascii="Times New Roman"/>
        </w:rPr>
        <w:t>采收时应先下后上，先外后内依次进行。采收时应轻拿轻放，避免机械损伤。雨天和中午高温时不宜采收。</w:t>
      </w:r>
    </w:p>
    <w:p>
      <w:pPr>
        <w:pStyle w:val="105"/>
        <w:spacing w:before="312" w:after="312"/>
        <w:rPr>
          <w:rFonts w:ascii="Times New Roman"/>
        </w:rPr>
      </w:pPr>
      <w:bookmarkStart w:id="122" w:name="_Toc173508396"/>
      <w:bookmarkStart w:id="123" w:name="_Toc5639"/>
      <w:r>
        <w:rPr>
          <w:rFonts w:hint="eastAsia" w:ascii="Times New Roman"/>
        </w:rPr>
        <w:t>土肥水管理</w:t>
      </w:r>
      <w:bookmarkEnd w:id="122"/>
      <w:bookmarkEnd w:id="123"/>
    </w:p>
    <w:p>
      <w:pPr>
        <w:pStyle w:val="106"/>
        <w:spacing w:before="156" w:after="156"/>
        <w:rPr>
          <w:rFonts w:ascii="Times New Roman"/>
        </w:rPr>
      </w:pPr>
      <w:bookmarkStart w:id="124" w:name="_Toc155969730"/>
      <w:bookmarkStart w:id="125" w:name="_Toc155969659"/>
      <w:r>
        <w:rPr>
          <w:rFonts w:hint="eastAsia" w:ascii="Times New Roman"/>
        </w:rPr>
        <w:t>土壤管理</w:t>
      </w:r>
      <w:bookmarkEnd w:id="124"/>
      <w:bookmarkEnd w:id="125"/>
    </w:p>
    <w:p>
      <w:pPr>
        <w:pStyle w:val="66"/>
        <w:spacing w:before="156" w:after="156"/>
        <w:rPr>
          <w:rFonts w:ascii="Times New Roman"/>
        </w:rPr>
      </w:pPr>
      <w:r>
        <w:rPr>
          <w:rFonts w:hint="eastAsia" w:ascii="Times New Roman"/>
        </w:rPr>
        <w:t>深翻改土</w:t>
      </w:r>
    </w:p>
    <w:p>
      <w:pPr>
        <w:pStyle w:val="57"/>
        <w:ind w:firstLine="420"/>
        <w:rPr>
          <w:rFonts w:ascii="Times New Roman"/>
        </w:rPr>
      </w:pPr>
      <w:r>
        <w:rPr>
          <w:rFonts w:hint="eastAsia" w:ascii="Times New Roman"/>
        </w:rPr>
        <w:t>梨园采用行间覆盖秸杆的方法，6月份在梨园覆盖20 cm的一层作物秸秆，秋季10月份将腐烂的秸杆耕入土壤中。</w:t>
      </w:r>
    </w:p>
    <w:p>
      <w:pPr>
        <w:pStyle w:val="66"/>
        <w:spacing w:before="156" w:after="156"/>
        <w:rPr>
          <w:rFonts w:ascii="Times New Roman"/>
        </w:rPr>
      </w:pPr>
      <w:r>
        <w:rPr>
          <w:rFonts w:hint="eastAsia" w:ascii="Times New Roman"/>
        </w:rPr>
        <w:t>果园生草</w:t>
      </w:r>
    </w:p>
    <w:p>
      <w:pPr>
        <w:pStyle w:val="57"/>
        <w:ind w:firstLine="420"/>
        <w:rPr>
          <w:rFonts w:ascii="Times New Roman"/>
        </w:rPr>
      </w:pPr>
      <w:r>
        <w:rPr>
          <w:rFonts w:hint="eastAsia" w:ascii="Times New Roman"/>
        </w:rPr>
        <w:t>以行间生草为主要方式，自然生草和人工种草为辅。</w:t>
      </w:r>
    </w:p>
    <w:p>
      <w:pPr>
        <w:pStyle w:val="106"/>
        <w:spacing w:before="156" w:after="156"/>
        <w:rPr>
          <w:rFonts w:ascii="Times New Roman"/>
        </w:rPr>
      </w:pPr>
      <w:bookmarkStart w:id="126" w:name="_Toc155969731"/>
      <w:bookmarkStart w:id="127" w:name="_Toc155969660"/>
      <w:r>
        <w:rPr>
          <w:rFonts w:hint="eastAsia" w:ascii="Times New Roman"/>
        </w:rPr>
        <w:t>施肥</w:t>
      </w:r>
      <w:bookmarkEnd w:id="126"/>
      <w:bookmarkEnd w:id="127"/>
    </w:p>
    <w:p>
      <w:pPr>
        <w:pStyle w:val="66"/>
        <w:spacing w:before="156" w:after="156"/>
        <w:rPr>
          <w:rFonts w:ascii="Times New Roman"/>
        </w:rPr>
      </w:pPr>
      <w:r>
        <w:rPr>
          <w:rFonts w:hint="eastAsia" w:ascii="Times New Roman"/>
        </w:rPr>
        <w:t>土壤施肥</w:t>
      </w:r>
    </w:p>
    <w:p>
      <w:pPr>
        <w:pStyle w:val="95"/>
        <w:spacing w:before="156" w:after="156"/>
        <w:rPr>
          <w:rFonts w:ascii="Times New Roman"/>
        </w:rPr>
      </w:pPr>
      <w:r>
        <w:rPr>
          <w:rFonts w:hint="eastAsia" w:ascii="Times New Roman"/>
        </w:rPr>
        <w:t>幼树</w:t>
      </w:r>
    </w:p>
    <w:p>
      <w:pPr>
        <w:pStyle w:val="57"/>
        <w:ind w:firstLine="420"/>
        <w:rPr>
          <w:rFonts w:ascii="Times New Roman"/>
        </w:rPr>
      </w:pPr>
      <w:r>
        <w:rPr>
          <w:rFonts w:hint="eastAsia" w:ascii="Times New Roman"/>
        </w:rPr>
        <w:t>秋施基肥，每株施入有机堆肥25 kg～50 kg及其他有机肥、钙镁复合肥等。秋施基肥施入的肥料占全年肥料总量65％左右。春季（解冻后到萌芽前）追施1次氮磷钾复合肥，约占全年施肥总量</w:t>
      </w:r>
      <w:r>
        <w:rPr>
          <w:rFonts w:hint="default" w:ascii="Times New Roman" w:hAnsi="Times New Roman" w:cs="Times New Roman"/>
        </w:rPr>
        <w:t>25％</w:t>
      </w:r>
      <w:r>
        <w:rPr>
          <w:rFonts w:hint="eastAsia" w:ascii="Times New Roman"/>
        </w:rPr>
        <w:t>左右，大约每株树0.2 kg。生长季果实膨大期补施1次氮磷钾复合肥，约占全年施肥总量10％左右，大约每株树0.10 kg。具体使用按照当地测土配方结果使用。</w:t>
      </w:r>
    </w:p>
    <w:p>
      <w:pPr>
        <w:pStyle w:val="95"/>
        <w:spacing w:before="156" w:after="156"/>
        <w:rPr>
          <w:rFonts w:ascii="Times New Roman"/>
        </w:rPr>
      </w:pPr>
      <w:r>
        <w:rPr>
          <w:rFonts w:hint="eastAsia" w:ascii="Times New Roman"/>
        </w:rPr>
        <w:t>成年树</w:t>
      </w:r>
    </w:p>
    <w:p>
      <w:pPr>
        <w:pStyle w:val="57"/>
        <w:ind w:firstLine="420"/>
        <w:rPr>
          <w:rFonts w:ascii="Times New Roman"/>
        </w:rPr>
      </w:pPr>
      <w:r>
        <w:rPr>
          <w:rFonts w:hint="eastAsia" w:ascii="Times New Roman"/>
        </w:rPr>
        <w:t>根据树龄、生长势和当年预计产果确定全年施肥量，每生产1 kg 梨施入有机肥1 kg 以上,用肥氮、磷、钾比例为1:0.5:1。基肥用量占达到全年需肥量的60%左右，坐果后追施1次氮磷钾复合肥，约占全年需肥量的20%左右。果实膨大期再追施1次磷钾复合肥，约占全年需肥量的20%左右。</w:t>
      </w:r>
    </w:p>
    <w:p>
      <w:pPr>
        <w:pStyle w:val="95"/>
        <w:spacing w:before="156" w:after="156"/>
        <w:rPr>
          <w:rFonts w:ascii="Times New Roman"/>
        </w:rPr>
      </w:pPr>
      <w:r>
        <w:rPr>
          <w:rFonts w:hint="eastAsia" w:ascii="Times New Roman"/>
        </w:rPr>
        <w:t>叶面追肥</w:t>
      </w:r>
    </w:p>
    <w:p>
      <w:pPr>
        <w:pStyle w:val="57"/>
        <w:ind w:firstLine="420"/>
        <w:rPr>
          <w:rFonts w:ascii="Times New Roman"/>
        </w:rPr>
      </w:pPr>
      <w:r>
        <w:rPr>
          <w:rFonts w:hint="eastAsia" w:ascii="Times New Roman"/>
        </w:rPr>
        <w:t>初花期、谢花后、花芽分化初期和采收前，根据树体营养状况和缺素情况，结合喷洒农药，适当追施叶面肥。常用肥料浓度为尿素0.2%～0.3%，磷酸二氢钾0.2%～0.3%，硼砂0.1%～0.3% 。</w:t>
      </w:r>
    </w:p>
    <w:p>
      <w:pPr>
        <w:pStyle w:val="106"/>
        <w:spacing w:before="156" w:after="156"/>
        <w:rPr>
          <w:rFonts w:ascii="Times New Roman"/>
        </w:rPr>
      </w:pPr>
      <w:bookmarkStart w:id="128" w:name="_Toc155969661"/>
      <w:bookmarkStart w:id="129" w:name="_Toc155969732"/>
      <w:r>
        <w:rPr>
          <w:rFonts w:hint="eastAsia" w:ascii="Times New Roman"/>
        </w:rPr>
        <w:t>水分管理</w:t>
      </w:r>
      <w:bookmarkEnd w:id="128"/>
      <w:bookmarkEnd w:id="129"/>
    </w:p>
    <w:p>
      <w:pPr>
        <w:pStyle w:val="66"/>
        <w:spacing w:before="156" w:after="156"/>
        <w:rPr>
          <w:rFonts w:ascii="Times New Roman"/>
        </w:rPr>
      </w:pPr>
      <w:r>
        <w:rPr>
          <w:rFonts w:hint="eastAsia" w:ascii="Times New Roman"/>
        </w:rPr>
        <w:t>灌溉</w:t>
      </w:r>
    </w:p>
    <w:p>
      <w:pPr>
        <w:pStyle w:val="57"/>
        <w:ind w:firstLine="420"/>
        <w:rPr>
          <w:rFonts w:ascii="Times New Roman"/>
        </w:rPr>
      </w:pPr>
      <w:r>
        <w:rPr>
          <w:rFonts w:hint="eastAsia" w:ascii="Times New Roman"/>
        </w:rPr>
        <w:t>一般情况春季发芽前灌水1次，果实膨大期灌水1次～2次，入冬以前灌水1次，灌水量要根据土壤含水量情况进行。</w:t>
      </w:r>
    </w:p>
    <w:p>
      <w:pPr>
        <w:pStyle w:val="66"/>
        <w:spacing w:before="156" w:after="156"/>
        <w:rPr>
          <w:rFonts w:ascii="Times New Roman"/>
        </w:rPr>
      </w:pPr>
      <w:r>
        <w:rPr>
          <w:rFonts w:hint="eastAsia" w:ascii="Times New Roman"/>
        </w:rPr>
        <w:t>滴灌</w:t>
      </w:r>
    </w:p>
    <w:p>
      <w:pPr>
        <w:pStyle w:val="57"/>
        <w:ind w:firstLine="420"/>
        <w:rPr>
          <w:rFonts w:ascii="Times New Roman"/>
        </w:rPr>
      </w:pPr>
      <w:r>
        <w:rPr>
          <w:rFonts w:hint="eastAsia" w:ascii="Times New Roman"/>
        </w:rPr>
        <w:t>滴灌水的质量应符合 NY/T 5010 的规定，灌水量及方法按 NY/T 442 的规定执行。</w:t>
      </w:r>
    </w:p>
    <w:p>
      <w:pPr>
        <w:pStyle w:val="66"/>
        <w:spacing w:before="156" w:after="156"/>
        <w:rPr>
          <w:rFonts w:ascii="Times New Roman"/>
        </w:rPr>
      </w:pPr>
      <w:r>
        <w:rPr>
          <w:rFonts w:hint="eastAsia" w:ascii="Times New Roman"/>
        </w:rPr>
        <w:t>排水</w:t>
      </w:r>
    </w:p>
    <w:p>
      <w:pPr>
        <w:pStyle w:val="57"/>
        <w:ind w:firstLine="420"/>
        <w:rPr>
          <w:rFonts w:ascii="Times New Roman"/>
        </w:rPr>
      </w:pPr>
      <w:r>
        <w:rPr>
          <w:rFonts w:hint="eastAsia" w:ascii="Times New Roman"/>
        </w:rPr>
        <w:t>梨园设置排水系统并及时清淤，多雨季节或果园积水时开沟排水。</w:t>
      </w:r>
    </w:p>
    <w:p>
      <w:pPr>
        <w:pStyle w:val="57"/>
        <w:ind w:firstLine="420"/>
        <w:rPr>
          <w:rFonts w:ascii="Times New Roman"/>
        </w:rPr>
      </w:pPr>
    </w:p>
    <w:p>
      <w:pPr>
        <w:pStyle w:val="105"/>
        <w:spacing w:before="312" w:after="312"/>
        <w:rPr>
          <w:rFonts w:ascii="Times New Roman"/>
        </w:rPr>
      </w:pPr>
      <w:bookmarkStart w:id="130" w:name="_Toc173508397"/>
      <w:bookmarkStart w:id="131" w:name="_Toc155969740"/>
      <w:bookmarkStart w:id="132" w:name="_Toc155969669"/>
      <w:bookmarkStart w:id="133" w:name="_Toc8668"/>
      <w:bookmarkStart w:id="134" w:name="_Toc155969759"/>
      <w:r>
        <w:rPr>
          <w:rFonts w:hint="eastAsia" w:ascii="Times New Roman"/>
        </w:rPr>
        <w:t>病虫草害防治</w:t>
      </w:r>
      <w:bookmarkEnd w:id="130"/>
      <w:bookmarkEnd w:id="131"/>
      <w:bookmarkEnd w:id="132"/>
      <w:bookmarkEnd w:id="133"/>
      <w:bookmarkEnd w:id="134"/>
    </w:p>
    <w:p>
      <w:pPr>
        <w:pStyle w:val="106"/>
        <w:spacing w:before="156" w:after="156"/>
        <w:rPr>
          <w:rFonts w:ascii="Times New Roman"/>
        </w:rPr>
      </w:pPr>
      <w:bookmarkStart w:id="135" w:name="_Toc155969670"/>
      <w:bookmarkStart w:id="136" w:name="_Toc155969741"/>
      <w:r>
        <w:rPr>
          <w:rFonts w:hint="eastAsia" w:ascii="Times New Roman"/>
        </w:rPr>
        <w:t>农业防治</w:t>
      </w:r>
      <w:bookmarkEnd w:id="135"/>
      <w:bookmarkEnd w:id="136"/>
    </w:p>
    <w:p>
      <w:pPr>
        <w:pStyle w:val="57"/>
        <w:ind w:firstLine="420"/>
        <w:rPr>
          <w:rFonts w:ascii="Times New Roman"/>
        </w:rPr>
      </w:pPr>
      <w:r>
        <w:rPr>
          <w:rFonts w:hint="eastAsia" w:ascii="Times New Roman"/>
        </w:rPr>
        <w:t>加强土肥水管理，合理修剪，保证树体通风透光，清除枯枝落叶、刮除树干老翘裂皮、翻树盘、剪除病虫枝果，减少病虫源，降低病虫基数；不与苹果、桃等其他果树混载，以防次要病虫上升为害；梨园周围5 km 范围内不栽种桧柏，以防止锈病流行等。</w:t>
      </w:r>
    </w:p>
    <w:p>
      <w:pPr>
        <w:pStyle w:val="106"/>
        <w:spacing w:before="156" w:after="156"/>
        <w:rPr>
          <w:rFonts w:ascii="Times New Roman"/>
        </w:rPr>
      </w:pPr>
      <w:bookmarkStart w:id="137" w:name="_Toc155969671"/>
      <w:bookmarkStart w:id="138" w:name="_Toc155969742"/>
      <w:r>
        <w:rPr>
          <w:rFonts w:hint="eastAsia" w:ascii="Times New Roman"/>
        </w:rPr>
        <w:t>物理防治</w:t>
      </w:r>
      <w:bookmarkEnd w:id="137"/>
      <w:bookmarkEnd w:id="138"/>
    </w:p>
    <w:p>
      <w:pPr>
        <w:pStyle w:val="57"/>
        <w:ind w:firstLine="420"/>
        <w:rPr>
          <w:rFonts w:ascii="Times New Roman"/>
        </w:rPr>
      </w:pPr>
      <w:r>
        <w:rPr>
          <w:rFonts w:hint="eastAsia" w:ascii="Times New Roman"/>
        </w:rPr>
        <w:t>根据病虫生物学特性，采取糖醋液、黄板、频振杀虫灯以及树干缠草绳等方法诱杀害虫。</w:t>
      </w:r>
    </w:p>
    <w:p>
      <w:pPr>
        <w:pStyle w:val="106"/>
        <w:spacing w:before="156" w:after="156"/>
        <w:rPr>
          <w:rFonts w:ascii="Times New Roman"/>
        </w:rPr>
      </w:pPr>
      <w:bookmarkStart w:id="139" w:name="_Toc155969672"/>
      <w:bookmarkStart w:id="140" w:name="_Toc155969743"/>
      <w:r>
        <w:rPr>
          <w:rFonts w:hint="eastAsia" w:ascii="Times New Roman"/>
        </w:rPr>
        <w:t>生物防治</w:t>
      </w:r>
      <w:bookmarkEnd w:id="139"/>
      <w:bookmarkEnd w:id="140"/>
    </w:p>
    <w:p>
      <w:pPr>
        <w:pStyle w:val="57"/>
        <w:ind w:firstLine="420"/>
        <w:rPr>
          <w:rFonts w:ascii="Times New Roman"/>
        </w:rPr>
      </w:pPr>
      <w:r>
        <w:rPr>
          <w:rFonts w:hint="eastAsia" w:ascii="Times New Roman"/>
        </w:rPr>
        <w:t>人工释放赤眼蜂，保护瓢虫、草蛉、捕食螨等害虫天敌。应用有益微生物及其代谢产物等生物制剂防治病虫害。利用昆虫性激素诱杀或干扰成虫交配。</w:t>
      </w:r>
    </w:p>
    <w:p>
      <w:pPr>
        <w:pStyle w:val="106"/>
        <w:spacing w:before="156" w:after="156"/>
        <w:rPr>
          <w:rFonts w:ascii="Times New Roman"/>
        </w:rPr>
      </w:pPr>
      <w:bookmarkStart w:id="141" w:name="_Toc155969744"/>
      <w:bookmarkStart w:id="142" w:name="_Toc155969673"/>
      <w:r>
        <w:rPr>
          <w:rFonts w:hint="eastAsia" w:ascii="Times New Roman"/>
        </w:rPr>
        <w:t>化学防治</w:t>
      </w:r>
      <w:bookmarkEnd w:id="141"/>
      <w:bookmarkEnd w:id="142"/>
    </w:p>
    <w:p>
      <w:pPr>
        <w:pStyle w:val="57"/>
        <w:ind w:firstLine="420"/>
        <w:rPr>
          <w:rFonts w:ascii="Times New Roman"/>
        </w:rPr>
      </w:pPr>
      <w:r>
        <w:rPr>
          <w:rFonts w:hint="eastAsia" w:ascii="Times New Roman"/>
        </w:rPr>
        <w:t>根据防治对象的生物学特性和为害特点，加强病虫害的预测预报，提倡使用生物源农药，矿物源农药，不应使用国家规定禁用的剧毒、高毒、高残留和致畸、致癌、致突变农药。轮换使用不同作用机理农药，选用合适的喷药器械。主要病虫防治时期与方法见附录A。</w:t>
      </w:r>
    </w:p>
    <w:p>
      <w:pPr>
        <w:pStyle w:val="105"/>
        <w:spacing w:before="312" w:after="312"/>
        <w:rPr>
          <w:rFonts w:ascii="Times New Roman"/>
        </w:rPr>
      </w:pPr>
      <w:bookmarkStart w:id="143" w:name="_Toc12461"/>
      <w:bookmarkStart w:id="144" w:name="_Toc173508398"/>
      <w:r>
        <w:rPr>
          <w:rFonts w:hint="eastAsia" w:ascii="Times New Roman"/>
        </w:rPr>
        <w:t>生产档案</w:t>
      </w:r>
      <w:bookmarkEnd w:id="143"/>
      <w:bookmarkEnd w:id="144"/>
    </w:p>
    <w:p>
      <w:pPr>
        <w:pStyle w:val="57"/>
        <w:ind w:left="210" w:leftChars="100" w:firstLine="210" w:firstLineChars="100"/>
        <w:sectPr>
          <w:pgSz w:w="11906" w:h="16838"/>
          <w:pgMar w:top="1928" w:right="1134" w:bottom="1134" w:left="1134" w:header="1418" w:footer="1134" w:gutter="284"/>
          <w:pgNumType w:start="1"/>
          <w:cols w:space="425" w:num="1"/>
          <w:formProt w:val="0"/>
          <w:docGrid w:type="lines" w:linePitch="312" w:charSpace="0"/>
        </w:sectPr>
      </w:pPr>
      <w:r>
        <w:rPr>
          <w:rFonts w:hint="eastAsia" w:ascii="Times New Roman"/>
        </w:rPr>
        <w:t>各生产环节应做好相应工作记录，建立生产档案，并保存记录2年以上。</w:t>
      </w:r>
    </w:p>
    <w:p>
      <w:pPr>
        <w:pStyle w:val="57"/>
        <w:ind w:firstLine="0" w:firstLineChars="0"/>
      </w:pPr>
    </w:p>
    <w:bookmarkEnd w:id="27"/>
    <w:p>
      <w:pPr>
        <w:pStyle w:val="199"/>
        <w:rPr>
          <w:rFonts w:hint="eastAsia"/>
        </w:rPr>
      </w:pPr>
    </w:p>
    <w:p>
      <w:pPr>
        <w:pStyle w:val="200"/>
      </w:pPr>
    </w:p>
    <w:p>
      <w:pPr>
        <w:pStyle w:val="77"/>
        <w:spacing w:after="156"/>
      </w:pPr>
      <w:bookmarkStart w:id="145" w:name="_Toc2877"/>
      <w:bookmarkStart w:id="146" w:name="BookMark5"/>
      <w:r>
        <w:br w:type="textWrapping"/>
      </w:r>
      <w:bookmarkStart w:id="147" w:name="_Toc173508399"/>
      <w:r>
        <w:rPr>
          <w:rFonts w:hint="eastAsia"/>
        </w:rPr>
        <w:t>（资料性）</w:t>
      </w:r>
      <w:r>
        <w:br w:type="textWrapping"/>
      </w:r>
      <w:r>
        <w:rPr>
          <w:rFonts w:hint="eastAsia"/>
        </w:rPr>
        <w:t>病虫害防治</w:t>
      </w:r>
      <w:bookmarkEnd w:id="145"/>
      <w:bookmarkEnd w:id="147"/>
    </w:p>
    <w:p>
      <w:pPr>
        <w:pStyle w:val="79"/>
        <w:spacing w:before="156" w:after="156"/>
      </w:pPr>
      <w:r>
        <w:rPr>
          <w:rFonts w:hint="eastAsia"/>
        </w:rPr>
        <w:t>梨黑星病</w:t>
      </w:r>
    </w:p>
    <w:p>
      <w:pPr>
        <w:pStyle w:val="57"/>
        <w:ind w:firstLine="420"/>
        <w:rPr>
          <w:rFonts w:hint="default" w:ascii="Times New Roman" w:hAnsi="Times New Roman" w:cs="Times New Roman"/>
        </w:rPr>
      </w:pPr>
      <w:r>
        <w:rPr>
          <w:rFonts w:hint="default" w:ascii="Times New Roman" w:hAnsi="Times New Roman" w:cs="Times New Roman"/>
        </w:rPr>
        <w:t xml:space="preserve">防治方法：加强土肥水管理，合理负载，科学修剪，改善园区和树体通风透光条件，保持均衡树势，诱导植株抗病能力。彻底清理果园，剪除病梢、病叶、病果，并集中深埋或烧毁，减少侵染源。芽萌动前喷3 </w:t>
      </w:r>
      <w:r>
        <w:rPr>
          <w:rFonts w:hint="default" w:ascii="Times New Roman" w:hAnsi="Times New Roman" w:cs="Times New Roman"/>
        </w:rPr>
        <w:sym w:font="Symbol" w:char="00B0"/>
      </w:r>
      <w:r>
        <w:rPr>
          <w:rFonts w:hint="default" w:ascii="Times New Roman" w:hAnsi="Times New Roman" w:cs="Times New Roman"/>
        </w:rPr>
        <w:t xml:space="preserve">Bé～5 </w:t>
      </w:r>
      <w:r>
        <w:rPr>
          <w:rFonts w:hint="default" w:ascii="Times New Roman" w:hAnsi="Times New Roman" w:cs="Times New Roman"/>
        </w:rPr>
        <w:sym w:font="Symbol" w:char="00B0"/>
      </w:r>
      <w:r>
        <w:rPr>
          <w:rFonts w:hint="default" w:ascii="Times New Roman" w:hAnsi="Times New Roman" w:cs="Times New Roman"/>
        </w:rPr>
        <w:t>Bé石硫合剂，杀死越冬病菌。</w:t>
      </w:r>
    </w:p>
    <w:p>
      <w:pPr>
        <w:pStyle w:val="57"/>
        <w:ind w:firstLine="420"/>
        <w:rPr>
          <w:rFonts w:hint="default" w:ascii="Times New Roman" w:hAnsi="Times New Roman" w:cs="Times New Roman"/>
        </w:rPr>
      </w:pPr>
      <w:r>
        <w:rPr>
          <w:rFonts w:hint="default" w:ascii="Times New Roman" w:hAnsi="Times New Roman" w:cs="Times New Roman"/>
        </w:rPr>
        <w:t>防治时期：在发芽前和落花后，常用药剂有12.5%特谱唑可湿性粉剂2 500倍液、40%福星8</w:t>
      </w:r>
      <w:r>
        <w:rPr>
          <w:rFonts w:hint="default" w:ascii="Times New Roman" w:hAnsi="Times New Roman" w:cs="Times New Roman"/>
          <w:lang w:val="en-US" w:eastAsia="zh-CN"/>
        </w:rPr>
        <w:t xml:space="preserve"> </w:t>
      </w:r>
      <w:r>
        <w:rPr>
          <w:rFonts w:hint="default" w:ascii="Times New Roman" w:hAnsi="Times New Roman" w:cs="Times New Roman"/>
        </w:rPr>
        <w:t>000倍液、40%多菌灵胶悬剂800倍液等。</w:t>
      </w:r>
    </w:p>
    <w:p>
      <w:pPr>
        <w:pStyle w:val="79"/>
        <w:spacing w:before="156" w:after="156"/>
        <w:rPr>
          <w:rFonts w:hint="default" w:ascii="Times New Roman" w:hAnsi="Times New Roman" w:cs="Times New Roman"/>
        </w:rPr>
      </w:pPr>
      <w:r>
        <w:rPr>
          <w:rFonts w:hint="default" w:ascii="Times New Roman" w:hAnsi="Times New Roman" w:cs="Times New Roman"/>
        </w:rPr>
        <w:t>梨轮纹病</w:t>
      </w:r>
    </w:p>
    <w:p>
      <w:pPr>
        <w:pStyle w:val="57"/>
        <w:ind w:firstLine="420"/>
        <w:rPr>
          <w:rFonts w:hint="default" w:ascii="Times New Roman" w:hAnsi="Times New Roman" w:cs="Times New Roman"/>
        </w:rPr>
      </w:pPr>
      <w:r>
        <w:rPr>
          <w:rFonts w:hint="default" w:ascii="Times New Roman" w:hAnsi="Times New Roman" w:cs="Times New Roman"/>
        </w:rPr>
        <w:t xml:space="preserve">防治方法：加强土肥水管理，合理负载，科学修剪，改善园区和树体通风透光条件，保持均衡树势，适当增施有机肥，减少化学氮肥的施用。刮除枝干病斑，剪除枯死枝，并将其集中烧毁，清除越冬病源。发芽前喷3 </w:t>
      </w:r>
      <w:r>
        <w:rPr>
          <w:rFonts w:hint="default" w:ascii="Times New Roman" w:hAnsi="Times New Roman" w:cs="Times New Roman"/>
        </w:rPr>
        <w:sym w:font="Symbol" w:char="00B0"/>
      </w:r>
      <w:r>
        <w:rPr>
          <w:rFonts w:hint="default" w:ascii="Times New Roman" w:hAnsi="Times New Roman" w:cs="Times New Roman"/>
        </w:rPr>
        <w:t xml:space="preserve">Bé～5 </w:t>
      </w:r>
      <w:r>
        <w:rPr>
          <w:rFonts w:hint="default" w:ascii="Times New Roman" w:hAnsi="Times New Roman" w:cs="Times New Roman"/>
        </w:rPr>
        <w:sym w:font="Symbol" w:char="00B0"/>
      </w:r>
      <w:r>
        <w:rPr>
          <w:rFonts w:hint="default" w:ascii="Times New Roman" w:hAnsi="Times New Roman" w:cs="Times New Roman"/>
        </w:rPr>
        <w:t>Bé石硫合剂。从落花后一周开始喷药保护。常用药剂有50%多菌灵800倍液、80%乙磷铝600～800倍液，1∶3∶260倍波尔多液等，喷药次数根据历年病情、降雨量而定，一般每10 d～15 d 喷一次杀菌剂，15 d～20 d 间隔喷一次波尔多液。</w:t>
      </w:r>
    </w:p>
    <w:p>
      <w:pPr>
        <w:pStyle w:val="79"/>
        <w:spacing w:before="156" w:after="156"/>
        <w:rPr>
          <w:rFonts w:hint="default" w:ascii="Times New Roman" w:hAnsi="Times New Roman" w:cs="Times New Roman"/>
        </w:rPr>
      </w:pPr>
      <w:r>
        <w:rPr>
          <w:rFonts w:hint="default" w:ascii="Times New Roman" w:hAnsi="Times New Roman" w:cs="Times New Roman"/>
        </w:rPr>
        <w:t>梨锈病</w:t>
      </w:r>
    </w:p>
    <w:p>
      <w:pPr>
        <w:pStyle w:val="57"/>
        <w:ind w:firstLine="420"/>
        <w:rPr>
          <w:rFonts w:hint="default" w:ascii="Times New Roman" w:hAnsi="Times New Roman" w:cs="Times New Roman"/>
        </w:rPr>
      </w:pPr>
      <w:r>
        <w:rPr>
          <w:rFonts w:hint="default" w:ascii="Times New Roman" w:hAnsi="Times New Roman" w:cs="Times New Roman"/>
        </w:rPr>
        <w:t xml:space="preserve">防治方法：清除传染源，梨园周围有柏树时，彻底清除。在发芽前全园喷布波美3 </w:t>
      </w:r>
      <w:r>
        <w:rPr>
          <w:rFonts w:hint="default" w:ascii="Times New Roman" w:hAnsi="Times New Roman" w:cs="Times New Roman"/>
        </w:rPr>
        <w:sym w:font="Symbol" w:char="00B0"/>
      </w:r>
      <w:r>
        <w:rPr>
          <w:rFonts w:hint="default" w:ascii="Times New Roman" w:hAnsi="Times New Roman" w:cs="Times New Roman"/>
        </w:rPr>
        <w:t xml:space="preserve">Bé～5 </w:t>
      </w:r>
      <w:r>
        <w:rPr>
          <w:rFonts w:hint="default" w:ascii="Times New Roman" w:hAnsi="Times New Roman" w:cs="Times New Roman"/>
        </w:rPr>
        <w:sym w:font="Symbol" w:char="00B0"/>
      </w:r>
      <w:r>
        <w:rPr>
          <w:rFonts w:hint="default" w:ascii="Times New Roman" w:hAnsi="Times New Roman" w:cs="Times New Roman"/>
        </w:rPr>
        <w:t>Bé石硫合剂。生长期用药在展叶后25d内，用可用1：2：160～200波尔多液，或15%粉锈宁乳剂2 000倍液、65%代森锌可湿性粉剂500倍液、20%萎锈灵可湿性粉剂400倍液。</w:t>
      </w:r>
    </w:p>
    <w:p>
      <w:pPr>
        <w:pStyle w:val="79"/>
        <w:spacing w:before="156" w:after="156"/>
        <w:rPr>
          <w:rFonts w:hint="default" w:ascii="Times New Roman" w:hAnsi="Times New Roman" w:cs="Times New Roman"/>
        </w:rPr>
      </w:pPr>
      <w:r>
        <w:rPr>
          <w:rFonts w:hint="default" w:ascii="Times New Roman" w:hAnsi="Times New Roman" w:cs="Times New Roman"/>
        </w:rPr>
        <w:t>梨黑斑病</w:t>
      </w:r>
    </w:p>
    <w:p>
      <w:pPr>
        <w:pStyle w:val="57"/>
        <w:ind w:firstLine="420"/>
        <w:rPr>
          <w:rFonts w:hint="default" w:ascii="Times New Roman" w:hAnsi="Times New Roman" w:cs="Times New Roman"/>
        </w:rPr>
      </w:pPr>
      <w:r>
        <w:rPr>
          <w:rFonts w:hint="default" w:ascii="Times New Roman" w:hAnsi="Times New Roman" w:cs="Times New Roman"/>
        </w:rPr>
        <w:t xml:space="preserve">防治方法：清理果园，减少传染源。冬季和萌芽前，清除梨园内枯枝落叶、病果，集中烧毁。发芽前喷施3 </w:t>
      </w:r>
      <w:r>
        <w:rPr>
          <w:rFonts w:hint="default" w:ascii="Times New Roman" w:hAnsi="Times New Roman" w:cs="Times New Roman"/>
        </w:rPr>
        <w:sym w:font="Symbol" w:char="00B0"/>
      </w:r>
      <w:r>
        <w:rPr>
          <w:rFonts w:hint="default" w:ascii="Times New Roman" w:hAnsi="Times New Roman" w:cs="Times New Roman"/>
        </w:rPr>
        <w:t xml:space="preserve">Bé～5 </w:t>
      </w:r>
      <w:r>
        <w:rPr>
          <w:rFonts w:hint="default" w:ascii="Times New Roman" w:hAnsi="Times New Roman" w:cs="Times New Roman"/>
        </w:rPr>
        <w:sym w:font="Symbol" w:char="00B0"/>
      </w:r>
      <w:r>
        <w:rPr>
          <w:rFonts w:hint="default" w:ascii="Times New Roman" w:hAnsi="Times New Roman" w:cs="Times New Roman"/>
        </w:rPr>
        <w:t>Bé石硫合剂。生长期防治喷施10%的宝丽安水剂1 000～1 500倍液；或50%朴海因可湿性粉剂800倍液，或80%大生M-45可湿性粉剂600～1 000倍液，或1.5%多抗霉素水剂500倍液。</w:t>
      </w:r>
    </w:p>
    <w:p>
      <w:pPr>
        <w:pStyle w:val="79"/>
        <w:spacing w:before="156" w:after="156"/>
        <w:rPr>
          <w:rFonts w:hint="default" w:ascii="Times New Roman" w:hAnsi="Times New Roman" w:cs="Times New Roman"/>
        </w:rPr>
      </w:pPr>
      <w:r>
        <w:rPr>
          <w:rFonts w:hint="default" w:ascii="Times New Roman" w:hAnsi="Times New Roman" w:cs="Times New Roman"/>
        </w:rPr>
        <w:t>梨木虱</w:t>
      </w:r>
    </w:p>
    <w:p>
      <w:pPr>
        <w:pStyle w:val="57"/>
        <w:ind w:firstLine="420"/>
        <w:rPr>
          <w:rFonts w:hint="default" w:ascii="Times New Roman" w:hAnsi="Times New Roman" w:cs="Times New Roman"/>
        </w:rPr>
      </w:pPr>
      <w:r>
        <w:rPr>
          <w:rFonts w:hint="default" w:ascii="Times New Roman" w:hAnsi="Times New Roman" w:cs="Times New Roman"/>
        </w:rPr>
        <w:t>防治方法：早春刮除树干老皮，清洁果园，消灭越冬成虫，压低虫口密度。化学防治掌握四个关键时期，即3月上旬越冬成虫产卵盛期，3月下旬花序分离期，落花70%后当年第一代若虫集中发生期和5月上旬越冬后第一次成虫发生盛期。常用药剂有0.3%敌虱螨2 500倍，10%吡虫啉2 500倍等。因世代重叠、若虫分泌有大量粘液保护，化学防治效果较差。</w:t>
      </w:r>
    </w:p>
    <w:p>
      <w:pPr>
        <w:pStyle w:val="79"/>
        <w:spacing w:before="156" w:after="156"/>
        <w:rPr>
          <w:rFonts w:hint="default" w:ascii="Times New Roman" w:hAnsi="Times New Roman" w:cs="Times New Roman"/>
        </w:rPr>
      </w:pPr>
      <w:r>
        <w:rPr>
          <w:rFonts w:hint="default" w:ascii="Times New Roman" w:hAnsi="Times New Roman" w:cs="Times New Roman"/>
        </w:rPr>
        <w:t>梨黄粉蚜</w:t>
      </w:r>
    </w:p>
    <w:p>
      <w:pPr>
        <w:pStyle w:val="57"/>
        <w:ind w:firstLine="420"/>
        <w:rPr>
          <w:rFonts w:hint="default" w:ascii="Times New Roman" w:hAnsi="Times New Roman" w:cs="Times New Roman"/>
        </w:rPr>
      </w:pPr>
      <w:r>
        <w:rPr>
          <w:rFonts w:hint="default" w:ascii="Times New Roman" w:hAnsi="Times New Roman" w:cs="Times New Roman"/>
        </w:rPr>
        <w:t>防治方法：冬春季彻底刮除老翘皮及树体残附物，并集中烧毁，消除越冬虫卵。一般年份梨黄粉蚜危害较轻，无需单独防治。发生较重的年份，需在6月中旬黄粉蚜向梨果转移时喷药防治。常用药剂有2.5%溴氰菊脂2 000倍液，10%吡虫啉3 000倍液，35%赛丹乳油2 500倍液等。</w:t>
      </w:r>
    </w:p>
    <w:p>
      <w:pPr>
        <w:pStyle w:val="79"/>
        <w:spacing w:before="156" w:after="156"/>
        <w:rPr>
          <w:rFonts w:hint="default" w:ascii="Times New Roman" w:hAnsi="Times New Roman" w:cs="Times New Roman"/>
        </w:rPr>
      </w:pPr>
      <w:r>
        <w:rPr>
          <w:rFonts w:hint="default" w:ascii="Times New Roman" w:hAnsi="Times New Roman" w:cs="Times New Roman"/>
        </w:rPr>
        <w:t>梨茎蜂</w:t>
      </w:r>
    </w:p>
    <w:p>
      <w:pPr>
        <w:pStyle w:val="57"/>
        <w:ind w:firstLine="420"/>
        <w:rPr>
          <w:rFonts w:hint="default" w:ascii="Times New Roman" w:hAnsi="Times New Roman" w:cs="Times New Roman"/>
        </w:rPr>
      </w:pPr>
      <w:r>
        <w:rPr>
          <w:rFonts w:hint="default" w:ascii="Times New Roman" w:hAnsi="Times New Roman" w:cs="Times New Roman"/>
        </w:rPr>
        <w:t xml:space="preserve">防治方法：成虫产卵结束后，及时剪除被害梢，在断口下3 cm～4 cm处剪除；对幼年树的关键延长枝可采取套袋保护。 利用成虫的群栖性和停息在树冠下部新梢叶背的习性，于早晚或阴天捕捉成虫。 落花后7 d～10 d，可用药剂防治，常用的药剂有2.5%溴氰菊脂2 000倍液，10%吡虫啉3 000倍液等。 </w:t>
      </w:r>
    </w:p>
    <w:p>
      <w:pPr>
        <w:pStyle w:val="79"/>
        <w:spacing w:before="156" w:after="156"/>
        <w:rPr>
          <w:rFonts w:hint="default" w:ascii="Times New Roman" w:hAnsi="Times New Roman" w:cs="Times New Roman"/>
        </w:rPr>
      </w:pPr>
      <w:r>
        <w:rPr>
          <w:rFonts w:hint="default" w:ascii="Times New Roman" w:hAnsi="Times New Roman" w:cs="Times New Roman"/>
        </w:rPr>
        <w:t>梨小食心虫的防治</w:t>
      </w:r>
    </w:p>
    <w:p>
      <w:pPr>
        <w:pStyle w:val="57"/>
        <w:ind w:firstLine="420"/>
        <w:rPr>
          <w:rFonts w:hint="default" w:ascii="Times New Roman" w:hAnsi="Times New Roman" w:cs="Times New Roman"/>
        </w:rPr>
      </w:pPr>
      <w:r>
        <w:rPr>
          <w:rFonts w:hint="default" w:ascii="Times New Roman" w:hAnsi="Times New Roman" w:cs="Times New Roman"/>
        </w:rPr>
        <w:t>防治方法：深挖树盘恶化梨小食心虫的越冬环境，刮除梨树老翘皮，清除越冬幼虫；利用合成性引诱剂诱杀成虫，并可获取准确防治时间，在6月下旬至7月下旬，释放赤眼蜂，每667 m</w:t>
      </w:r>
      <w:r>
        <w:rPr>
          <w:rFonts w:hint="default" w:ascii="Times New Roman" w:hAnsi="Times New Roman" w:cs="Times New Roman"/>
          <w:vertAlign w:val="superscript"/>
        </w:rPr>
        <w:t xml:space="preserve">2 </w:t>
      </w:r>
      <w:r>
        <w:rPr>
          <w:rFonts w:hint="default" w:ascii="Times New Roman" w:hAnsi="Times New Roman" w:cs="Times New Roman"/>
        </w:rPr>
        <w:t>放25 000头，连续2次～4次；也可喷20%杀灭菊脂3 000倍液，20%灭扫利3 000倍液防治。</w:t>
      </w:r>
    </w:p>
    <w:p>
      <w:pPr>
        <w:pStyle w:val="57"/>
        <w:ind w:firstLine="0" w:firstLineChars="0"/>
        <w:jc w:val="center"/>
      </w:pPr>
    </w:p>
    <w:bookmarkEnd w:id="146"/>
    <w:p>
      <w:pPr>
        <w:pStyle w:val="57"/>
        <w:ind w:firstLine="0" w:firstLineChars="0"/>
        <w:jc w:val="center"/>
      </w:pPr>
      <w:bookmarkStart w:id="148" w:name="BookMark8"/>
      <w:r>
        <w:drawing>
          <wp:inline distT="0" distB="0" distL="0" distR="0">
            <wp:extent cx="1485900" cy="317500"/>
            <wp:effectExtent l="0" t="0" r="0" b="0"/>
            <wp:docPr id="2106022517" name="图片 1"/>
            <wp:cNvGraphicFramePr/>
            <a:graphic xmlns:a="http://schemas.openxmlformats.org/drawingml/2006/main">
              <a:graphicData uri="http://schemas.openxmlformats.org/drawingml/2006/picture">
                <pic:pic xmlns:pic="http://schemas.openxmlformats.org/drawingml/2006/picture">
                  <pic:nvPicPr>
                    <pic:cNvPr id="2106022517"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ymbol">
    <w:panose1 w:val="050501020107060205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t>DB14/T 1376—XXXX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instrText xml:space="preserve"> STYLEREF  标准文件_文件编号  \* MERGEFORMAT </w:instrText>
    </w:r>
    <w:r>
      <w:fldChar w:fldCharType="separate"/>
    </w:r>
    <w:r>
      <w:t>DB14/T 1376—XXXX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6"/>
      <w:suff w:val="nothing"/>
      <w:lvlText w:val="%1.%2.%3　"/>
      <w:lvlJc w:val="left"/>
      <w:pPr>
        <w:ind w:left="0" w:firstLine="0"/>
      </w:pPr>
      <w:rPr>
        <w:rFonts w:hint="eastAsia" w:ascii="黑体" w:hAnsi="Times New Roman" w:eastAsia="黑体"/>
        <w:b w:val="0"/>
        <w:i w:val="0"/>
        <w:sz w:val="21"/>
      </w:rPr>
    </w:lvl>
    <w:lvl w:ilvl="3" w:tentative="0">
      <w:start w:val="1"/>
      <w:numFmt w:val="decimal"/>
      <w:pStyle w:val="237"/>
      <w:suff w:val="nothing"/>
      <w:lvlText w:val="%1.%2.%3.%4　"/>
      <w:lvlJc w:val="left"/>
      <w:pPr>
        <w:ind w:left="0" w:firstLine="0"/>
      </w:pPr>
      <w:rPr>
        <w:rFonts w:hint="eastAsia" w:ascii="黑体" w:hAnsi="Times New Roman" w:eastAsia="黑体"/>
        <w:b w:val="0"/>
        <w:i w:val="0"/>
        <w:sz w:val="21"/>
      </w:rPr>
    </w:lvl>
    <w:lvl w:ilvl="4" w:tentative="0">
      <w:start w:val="1"/>
      <w:numFmt w:val="decimal"/>
      <w:pStyle w:val="238"/>
      <w:suff w:val="nothing"/>
      <w:lvlText w:val="%1.%2.%3.%4.%5　"/>
      <w:lvlJc w:val="left"/>
      <w:pPr>
        <w:ind w:left="0" w:firstLine="0"/>
      </w:pPr>
      <w:rPr>
        <w:rFonts w:hint="eastAsia" w:ascii="黑体" w:hAnsi="Times New Roman" w:eastAsia="黑体"/>
        <w:b w:val="0"/>
        <w:i w:val="0"/>
        <w:sz w:val="21"/>
      </w:rPr>
    </w:lvl>
    <w:lvl w:ilvl="5" w:tentative="0">
      <w:start w:val="1"/>
      <w:numFmt w:val="decimal"/>
      <w:pStyle w:val="23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ZmMWEzNzY2OTkyMzJjZmM3YzkxYTY4N2NkYjUxOGQifQ=="/>
  </w:docVars>
  <w:rsids>
    <w:rsidRoot w:val="007F54F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CB9"/>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855"/>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A02"/>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A1B"/>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812"/>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2C8E"/>
    <w:rsid w:val="0036429C"/>
    <w:rsid w:val="00364A53"/>
    <w:rsid w:val="003654CB"/>
    <w:rsid w:val="00365AA9"/>
    <w:rsid w:val="00365F86"/>
    <w:rsid w:val="00365F87"/>
    <w:rsid w:val="00366E89"/>
    <w:rsid w:val="0036784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EF4"/>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01E"/>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29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733"/>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38B"/>
    <w:rsid w:val="007C6069"/>
    <w:rsid w:val="007D06C4"/>
    <w:rsid w:val="007D1352"/>
    <w:rsid w:val="007D2508"/>
    <w:rsid w:val="007D346A"/>
    <w:rsid w:val="007D6518"/>
    <w:rsid w:val="007D76BD"/>
    <w:rsid w:val="007E0BF1"/>
    <w:rsid w:val="007F0ED8"/>
    <w:rsid w:val="007F0F63"/>
    <w:rsid w:val="007F54F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473FE"/>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39"/>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989"/>
    <w:rsid w:val="00C55A06"/>
    <w:rsid w:val="00C55D03"/>
    <w:rsid w:val="00C6002D"/>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AF9"/>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331F"/>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1C21"/>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BC7"/>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1BC"/>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59"/>
    <w:rsid w:val="00F966CF"/>
    <w:rsid w:val="00F96CAE"/>
    <w:rsid w:val="00F97C99"/>
    <w:rsid w:val="00FA4DAC"/>
    <w:rsid w:val="00FA662D"/>
    <w:rsid w:val="00FA73B1"/>
    <w:rsid w:val="00FB0CB9"/>
    <w:rsid w:val="00FB1647"/>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2C1473"/>
    <w:rsid w:val="0700169B"/>
    <w:rsid w:val="079B7B6F"/>
    <w:rsid w:val="09CD4437"/>
    <w:rsid w:val="0C950256"/>
    <w:rsid w:val="0EA93C67"/>
    <w:rsid w:val="190C55AD"/>
    <w:rsid w:val="198C7FDB"/>
    <w:rsid w:val="1DE535C0"/>
    <w:rsid w:val="1E674FC0"/>
    <w:rsid w:val="1E90087C"/>
    <w:rsid w:val="1EA82D5E"/>
    <w:rsid w:val="1EC2624D"/>
    <w:rsid w:val="1F080FD8"/>
    <w:rsid w:val="1F59095F"/>
    <w:rsid w:val="23182165"/>
    <w:rsid w:val="24C146A4"/>
    <w:rsid w:val="25956469"/>
    <w:rsid w:val="275B4C7E"/>
    <w:rsid w:val="2A122468"/>
    <w:rsid w:val="2A4F253D"/>
    <w:rsid w:val="2AE55E15"/>
    <w:rsid w:val="2C7E7C57"/>
    <w:rsid w:val="2DCF6290"/>
    <w:rsid w:val="2FEF1D1E"/>
    <w:rsid w:val="30DA7426"/>
    <w:rsid w:val="34217DAE"/>
    <w:rsid w:val="390D5843"/>
    <w:rsid w:val="399F5180"/>
    <w:rsid w:val="3AFD03DC"/>
    <w:rsid w:val="3B003FDC"/>
    <w:rsid w:val="3B7F2DB3"/>
    <w:rsid w:val="3C41480C"/>
    <w:rsid w:val="3E4E12A7"/>
    <w:rsid w:val="3F9A5C00"/>
    <w:rsid w:val="41970A1B"/>
    <w:rsid w:val="41986C6D"/>
    <w:rsid w:val="41BB65BE"/>
    <w:rsid w:val="435E7AC0"/>
    <w:rsid w:val="43D955A1"/>
    <w:rsid w:val="44772349"/>
    <w:rsid w:val="49581F85"/>
    <w:rsid w:val="496F202B"/>
    <w:rsid w:val="49D3123D"/>
    <w:rsid w:val="4C0B44E0"/>
    <w:rsid w:val="4C0E41EC"/>
    <w:rsid w:val="4F7408C2"/>
    <w:rsid w:val="50DB26D2"/>
    <w:rsid w:val="52205B00"/>
    <w:rsid w:val="52381BAC"/>
    <w:rsid w:val="56F126B1"/>
    <w:rsid w:val="5873667C"/>
    <w:rsid w:val="590C549A"/>
    <w:rsid w:val="5B2F6B51"/>
    <w:rsid w:val="5C0D1147"/>
    <w:rsid w:val="5FE26067"/>
    <w:rsid w:val="5FFB5185"/>
    <w:rsid w:val="62124EA0"/>
    <w:rsid w:val="647C1028"/>
    <w:rsid w:val="65384140"/>
    <w:rsid w:val="67E55086"/>
    <w:rsid w:val="6A9B1D53"/>
    <w:rsid w:val="6D821A44"/>
    <w:rsid w:val="6EF470FF"/>
    <w:rsid w:val="71176E1E"/>
    <w:rsid w:val="71B132B0"/>
    <w:rsid w:val="740C16A3"/>
    <w:rsid w:val="74B327CE"/>
    <w:rsid w:val="759E5C98"/>
    <w:rsid w:val="78B7553A"/>
    <w:rsid w:val="7B533629"/>
    <w:rsid w:val="7BF22441"/>
    <w:rsid w:val="7D3F2992"/>
    <w:rsid w:val="7FAC40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字符"/>
    <w:basedOn w:val="29"/>
    <w:link w:val="13"/>
    <w:semiHidden/>
    <w:qFormat/>
    <w:uiPriority w:val="99"/>
    <w:rPr>
      <w:rFonts w:ascii="宋体"/>
      <w:kern w:val="2"/>
      <w:sz w:val="18"/>
      <w:szCs w:val="18"/>
    </w:rPr>
  </w:style>
  <w:style w:type="paragraph" w:customStyle="1" w:styleId="232">
    <w:name w:val="段"/>
    <w:link w:val="23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3">
    <w:name w:val="段 Char"/>
    <w:basedOn w:val="29"/>
    <w:link w:val="232"/>
    <w:qFormat/>
    <w:uiPriority w:val="0"/>
    <w:rPr>
      <w:rFonts w:ascii="宋体" w:hAnsi="Times New Roman"/>
      <w:sz w:val="21"/>
    </w:rPr>
  </w:style>
  <w:style w:type="paragraph" w:customStyle="1" w:styleId="234">
    <w:name w:val="一级条标题"/>
    <w:next w:val="232"/>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5">
    <w:name w:val="章标题"/>
    <w:next w:val="232"/>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二级条标题"/>
    <w:basedOn w:val="234"/>
    <w:next w:val="232"/>
    <w:qFormat/>
    <w:uiPriority w:val="0"/>
    <w:pPr>
      <w:numPr>
        <w:ilvl w:val="2"/>
      </w:numPr>
      <w:spacing w:before="50" w:after="50"/>
      <w:outlineLvl w:val="3"/>
    </w:pPr>
  </w:style>
  <w:style w:type="paragraph" w:customStyle="1" w:styleId="237">
    <w:name w:val="三级条标题"/>
    <w:basedOn w:val="236"/>
    <w:next w:val="232"/>
    <w:qFormat/>
    <w:uiPriority w:val="0"/>
    <w:pPr>
      <w:numPr>
        <w:ilvl w:val="3"/>
      </w:numPr>
      <w:outlineLvl w:val="4"/>
    </w:pPr>
  </w:style>
  <w:style w:type="paragraph" w:customStyle="1" w:styleId="238">
    <w:name w:val="四级条标题"/>
    <w:basedOn w:val="237"/>
    <w:next w:val="232"/>
    <w:qFormat/>
    <w:uiPriority w:val="0"/>
    <w:pPr>
      <w:numPr>
        <w:ilvl w:val="4"/>
      </w:numPr>
      <w:outlineLvl w:val="5"/>
    </w:pPr>
  </w:style>
  <w:style w:type="paragraph" w:customStyle="1" w:styleId="239">
    <w:name w:val="五级条标题"/>
    <w:basedOn w:val="238"/>
    <w:next w:val="232"/>
    <w:qFormat/>
    <w:uiPriority w:val="0"/>
    <w:pPr>
      <w:numPr>
        <w:ilvl w:val="5"/>
      </w:numPr>
      <w:outlineLvl w:val="6"/>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7320C41AFF04F4787213A52F56EB01F"/>
        <w:style w:val=""/>
        <w:category>
          <w:name w:val="常规"/>
          <w:gallery w:val="placeholder"/>
        </w:category>
        <w:types>
          <w:type w:val="bbPlcHdr"/>
        </w:types>
        <w:behaviors>
          <w:behavior w:val="content"/>
        </w:behaviors>
        <w:description w:val=""/>
        <w:guid w:val="{7C5A826B-DEDA-4804-9A75-2A503B479CFA}"/>
      </w:docPartPr>
      <w:docPartBody>
        <w:p>
          <w:pPr>
            <w:pStyle w:val="5"/>
            <w:rPr>
              <w:rFonts w:hint="eastAsia"/>
            </w:rPr>
          </w:pPr>
          <w:r>
            <w:rPr>
              <w:rStyle w:val="4"/>
              <w:rFonts w:hint="eastAsia"/>
            </w:rPr>
            <w:t>单击或点击此处输入文字。</w:t>
          </w:r>
        </w:p>
      </w:docPartBody>
    </w:docPart>
    <w:docPart>
      <w:docPartPr>
        <w:name w:val="2B5D196DF7AE4D069BADC8A3BCAA2674"/>
        <w:style w:val=""/>
        <w:category>
          <w:name w:val="常规"/>
          <w:gallery w:val="placeholder"/>
        </w:category>
        <w:types>
          <w:type w:val="bbPlcHdr"/>
        </w:types>
        <w:behaviors>
          <w:behavior w:val="content"/>
        </w:behaviors>
        <w:description w:val=""/>
        <w:guid w:val="{47FF3A7C-EA02-43DE-9257-71DB69AF1EEC}"/>
      </w:docPartPr>
      <w:docPartBody>
        <w:p>
          <w:pPr>
            <w:pStyle w:val="6"/>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B2925"/>
    <w:rsid w:val="000C7855"/>
    <w:rsid w:val="0059797F"/>
    <w:rsid w:val="009B2925"/>
    <w:rsid w:val="00D9331F"/>
    <w:rsid w:val="00E949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7320C41AFF04F4787213A52F56EB01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B5D196DF7AE4D069BADC8A3BCAA267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045E90-3B33-4904-BFA9-FC08D3A0DEF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4788</Words>
  <Characters>5291</Characters>
  <Lines>47</Lines>
  <Paragraphs>13</Paragraphs>
  <TotalTime>5</TotalTime>
  <ScaleCrop>false</ScaleCrop>
  <LinksUpToDate>false</LinksUpToDate>
  <CharactersWithSpaces>5452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2024-01-12T07:57:00Z</dcterms:created>
  <dc:creator>GS</dc:creator>
  <dc:description>&lt;config cover="true" show_menu="true" version="1.0.0" doctype="SDKXY"&gt;_x000d_
&lt;/config&gt;</dc:description>
  <cp:lastModifiedBy>爱自己</cp:lastModifiedBy>
  <cp:lastPrinted>2024-08-02T09:33:49Z</cp:lastPrinted>
  <dcterms:modified xsi:type="dcterms:W3CDTF">2024-08-02T09:37:59Z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20F1F86090FF4D56965C0DFED6EE6950_12</vt:lpwstr>
  </property>
</Properties>
</file>